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1B1" w:rsidRDefault="008521B1">
      <w:bookmarkStart w:id="0" w:name="_GoBack"/>
      <w:bookmarkEnd w:id="0"/>
    </w:p>
    <w:p w:rsidR="008521B1" w:rsidRPr="008521B1" w:rsidRDefault="008521B1" w:rsidP="008521B1">
      <w:pPr>
        <w:jc w:val="center"/>
        <w:rPr>
          <w:b/>
          <w:sz w:val="28"/>
          <w:szCs w:val="28"/>
        </w:rPr>
      </w:pPr>
      <w:r w:rsidRPr="008521B1">
        <w:rPr>
          <w:rFonts w:cstheme="minorHAnsi"/>
          <w:b/>
          <w:noProof/>
          <w:sz w:val="28"/>
          <w:szCs w:val="28"/>
        </w:rPr>
        <w:drawing>
          <wp:anchor distT="0" distB="0" distL="114300" distR="114300" simplePos="0" relativeHeight="251659264" behindDoc="1" locked="0" layoutInCell="1" allowOverlap="1" wp14:anchorId="5FFD728C" wp14:editId="19204C43">
            <wp:simplePos x="0" y="0"/>
            <wp:positionH relativeFrom="margin">
              <wp:posOffset>106680</wp:posOffset>
            </wp:positionH>
            <wp:positionV relativeFrom="margin">
              <wp:posOffset>-121920</wp:posOffset>
            </wp:positionV>
            <wp:extent cx="982980" cy="649605"/>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C Logo (big).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82980" cy="649605"/>
                    </a:xfrm>
                    <a:prstGeom prst="rect">
                      <a:avLst/>
                    </a:prstGeom>
                  </pic:spPr>
                </pic:pic>
              </a:graphicData>
            </a:graphic>
            <wp14:sizeRelH relativeFrom="margin">
              <wp14:pctWidth>0</wp14:pctWidth>
            </wp14:sizeRelH>
            <wp14:sizeRelV relativeFrom="margin">
              <wp14:pctHeight>0</wp14:pctHeight>
            </wp14:sizeRelV>
          </wp:anchor>
        </w:drawing>
      </w:r>
      <w:r w:rsidR="00A97374">
        <w:rPr>
          <w:b/>
          <w:sz w:val="28"/>
          <w:szCs w:val="28"/>
        </w:rPr>
        <w:t>ECO Steering Group</w:t>
      </w:r>
      <w:r w:rsidRPr="008521B1">
        <w:rPr>
          <w:b/>
          <w:sz w:val="28"/>
          <w:szCs w:val="28"/>
        </w:rPr>
        <w:t xml:space="preserve"> Meeting </w:t>
      </w:r>
      <w:r w:rsidR="00B05BC5">
        <w:rPr>
          <w:b/>
          <w:sz w:val="28"/>
          <w:szCs w:val="28"/>
        </w:rPr>
        <w:t>Minutes</w:t>
      </w:r>
    </w:p>
    <w:tbl>
      <w:tblPr>
        <w:tblStyle w:val="TableGrid"/>
        <w:tblW w:w="10632" w:type="dxa"/>
        <w:jc w:val="center"/>
        <w:tblInd w:w="-601" w:type="dxa"/>
        <w:tblLook w:val="04A0" w:firstRow="1" w:lastRow="0" w:firstColumn="1" w:lastColumn="0" w:noHBand="0" w:noVBand="1"/>
      </w:tblPr>
      <w:tblGrid>
        <w:gridCol w:w="1926"/>
        <w:gridCol w:w="8706"/>
      </w:tblGrid>
      <w:tr w:rsidR="0028671A" w:rsidRPr="00CD789B" w:rsidTr="00CD3468">
        <w:trPr>
          <w:trHeight w:val="269"/>
          <w:jc w:val="center"/>
        </w:trPr>
        <w:tc>
          <w:tcPr>
            <w:tcW w:w="1926" w:type="dxa"/>
            <w:shd w:val="clear" w:color="auto" w:fill="00B0F0"/>
          </w:tcPr>
          <w:p w:rsidR="004C5E48" w:rsidRPr="00283C87" w:rsidRDefault="004C5E48" w:rsidP="0079772B">
            <w:pPr>
              <w:jc w:val="both"/>
              <w:rPr>
                <w:rFonts w:cstheme="minorHAnsi"/>
                <w:b/>
                <w:color w:val="FFFFFF" w:themeColor="background1"/>
              </w:rPr>
            </w:pPr>
          </w:p>
          <w:p w:rsidR="0028671A" w:rsidRPr="00283C87" w:rsidRDefault="0028671A" w:rsidP="0079772B">
            <w:pPr>
              <w:jc w:val="both"/>
              <w:rPr>
                <w:rFonts w:cstheme="minorHAnsi"/>
                <w:b/>
                <w:color w:val="FFFFFF" w:themeColor="background1"/>
              </w:rPr>
            </w:pPr>
            <w:r w:rsidRPr="00283C87">
              <w:rPr>
                <w:rFonts w:cstheme="minorHAnsi"/>
                <w:b/>
                <w:color w:val="FFFFFF" w:themeColor="background1"/>
              </w:rPr>
              <w:t>Date</w:t>
            </w:r>
          </w:p>
          <w:p w:rsidR="0028671A" w:rsidRPr="00283C87" w:rsidRDefault="0028671A" w:rsidP="0079772B">
            <w:pPr>
              <w:jc w:val="both"/>
              <w:rPr>
                <w:rFonts w:cstheme="minorHAnsi"/>
                <w:b/>
                <w:color w:val="FFFFFF" w:themeColor="background1"/>
              </w:rPr>
            </w:pPr>
          </w:p>
        </w:tc>
        <w:tc>
          <w:tcPr>
            <w:tcW w:w="8706" w:type="dxa"/>
            <w:shd w:val="clear" w:color="auto" w:fill="auto"/>
          </w:tcPr>
          <w:p w:rsidR="008B23B3" w:rsidRDefault="008B23B3" w:rsidP="000261AC">
            <w:pPr>
              <w:jc w:val="both"/>
              <w:rPr>
                <w:rFonts w:cstheme="minorHAnsi"/>
              </w:rPr>
            </w:pPr>
          </w:p>
          <w:p w:rsidR="0028671A" w:rsidRDefault="00A97374" w:rsidP="000261AC">
            <w:pPr>
              <w:jc w:val="both"/>
              <w:rPr>
                <w:rFonts w:cstheme="minorHAnsi"/>
                <w:color w:val="808080" w:themeColor="background1" w:themeShade="80"/>
              </w:rPr>
            </w:pPr>
            <w:r>
              <w:rPr>
                <w:rFonts w:cstheme="minorHAnsi"/>
              </w:rPr>
              <w:t>10.30am to 12.30pm</w:t>
            </w:r>
            <w:r w:rsidR="00E27D42">
              <w:rPr>
                <w:rFonts w:cstheme="minorHAnsi"/>
              </w:rPr>
              <w:t xml:space="preserve"> on </w:t>
            </w:r>
            <w:r>
              <w:rPr>
                <w:rFonts w:cstheme="minorHAnsi"/>
                <w:b/>
              </w:rPr>
              <w:t>Fri</w:t>
            </w:r>
            <w:r w:rsidR="0028671A" w:rsidRPr="006611BF">
              <w:rPr>
                <w:rFonts w:cstheme="minorHAnsi"/>
                <w:b/>
              </w:rPr>
              <w:t xml:space="preserve">day </w:t>
            </w:r>
            <w:r w:rsidR="00541F93">
              <w:rPr>
                <w:rFonts w:cstheme="minorHAnsi"/>
                <w:b/>
              </w:rPr>
              <w:t>31</w:t>
            </w:r>
            <w:r w:rsidR="00541F93" w:rsidRPr="00541F93">
              <w:rPr>
                <w:rFonts w:cstheme="minorHAnsi"/>
                <w:b/>
                <w:vertAlign w:val="superscript"/>
              </w:rPr>
              <w:t>st</w:t>
            </w:r>
            <w:r w:rsidR="0028671A" w:rsidRPr="006611BF">
              <w:rPr>
                <w:rFonts w:cstheme="minorHAnsi"/>
                <w:b/>
              </w:rPr>
              <w:t xml:space="preserve"> </w:t>
            </w:r>
            <w:r w:rsidR="00541F93">
              <w:rPr>
                <w:rFonts w:cstheme="minorHAnsi"/>
                <w:b/>
              </w:rPr>
              <w:t>Octob</w:t>
            </w:r>
            <w:r w:rsidR="0028671A" w:rsidRPr="006611BF">
              <w:rPr>
                <w:rFonts w:cstheme="minorHAnsi"/>
                <w:b/>
              </w:rPr>
              <w:t>er 2014</w:t>
            </w:r>
            <w:r w:rsidR="008B233B">
              <w:rPr>
                <w:rFonts w:cstheme="minorHAnsi"/>
              </w:rPr>
              <w:t xml:space="preserve"> </w:t>
            </w:r>
            <w:r w:rsidR="008B233B" w:rsidRPr="008B233B">
              <w:rPr>
                <w:rFonts w:cstheme="minorHAnsi"/>
                <w:color w:val="808080" w:themeColor="background1" w:themeShade="80"/>
              </w:rPr>
              <w:t xml:space="preserve">(Room </w:t>
            </w:r>
            <w:r w:rsidR="000261AC">
              <w:rPr>
                <w:rFonts w:cstheme="minorHAnsi"/>
                <w:color w:val="808080" w:themeColor="background1" w:themeShade="80"/>
              </w:rPr>
              <w:t>LG0</w:t>
            </w:r>
            <w:r w:rsidR="00541F93">
              <w:rPr>
                <w:rFonts w:cstheme="minorHAnsi"/>
                <w:color w:val="808080" w:themeColor="background1" w:themeShade="80"/>
              </w:rPr>
              <w:t>3-06</w:t>
            </w:r>
            <w:r w:rsidR="008B233B" w:rsidRPr="008B233B">
              <w:rPr>
                <w:rFonts w:cstheme="minorHAnsi"/>
                <w:color w:val="808080" w:themeColor="background1" w:themeShade="80"/>
              </w:rPr>
              <w:t xml:space="preserve"> – 3 Whitehall Place)</w:t>
            </w:r>
            <w:r w:rsidR="008B233B">
              <w:rPr>
                <w:rFonts w:cstheme="minorHAnsi"/>
                <w:color w:val="808080" w:themeColor="background1" w:themeShade="80"/>
              </w:rPr>
              <w:t>.</w:t>
            </w:r>
          </w:p>
          <w:p w:rsidR="008F22DC" w:rsidRPr="00CD789B" w:rsidRDefault="008F22DC" w:rsidP="008F22DC">
            <w:pPr>
              <w:jc w:val="both"/>
              <w:rPr>
                <w:rFonts w:cstheme="minorHAnsi"/>
              </w:rPr>
            </w:pPr>
          </w:p>
        </w:tc>
      </w:tr>
      <w:tr w:rsidR="0028671A" w:rsidRPr="00CD789B" w:rsidTr="00CD3468">
        <w:trPr>
          <w:trHeight w:val="269"/>
          <w:jc w:val="center"/>
        </w:trPr>
        <w:tc>
          <w:tcPr>
            <w:tcW w:w="1926" w:type="dxa"/>
            <w:shd w:val="clear" w:color="auto" w:fill="00B0F0"/>
          </w:tcPr>
          <w:p w:rsidR="004C5E48" w:rsidRPr="00283C87" w:rsidRDefault="004C5E48" w:rsidP="0079772B">
            <w:pPr>
              <w:jc w:val="both"/>
              <w:rPr>
                <w:rFonts w:cstheme="minorHAnsi"/>
                <w:b/>
                <w:color w:val="FFFFFF" w:themeColor="background1"/>
              </w:rPr>
            </w:pPr>
          </w:p>
          <w:p w:rsidR="0028671A" w:rsidRPr="00283C87" w:rsidRDefault="0028671A" w:rsidP="0079772B">
            <w:pPr>
              <w:jc w:val="both"/>
              <w:rPr>
                <w:rFonts w:cstheme="minorHAnsi"/>
                <w:b/>
                <w:color w:val="FFFFFF" w:themeColor="background1"/>
              </w:rPr>
            </w:pPr>
            <w:r w:rsidRPr="00283C87">
              <w:rPr>
                <w:rFonts w:cstheme="minorHAnsi"/>
                <w:b/>
                <w:color w:val="FFFFFF" w:themeColor="background1"/>
              </w:rPr>
              <w:t>Attendees</w:t>
            </w:r>
          </w:p>
          <w:p w:rsidR="0028671A" w:rsidRPr="00283C87" w:rsidRDefault="0028671A" w:rsidP="0079772B">
            <w:pPr>
              <w:jc w:val="both"/>
              <w:rPr>
                <w:rFonts w:cstheme="minorHAnsi"/>
                <w:b/>
                <w:color w:val="FFFFFF" w:themeColor="background1"/>
              </w:rPr>
            </w:pPr>
          </w:p>
        </w:tc>
        <w:tc>
          <w:tcPr>
            <w:tcW w:w="8706" w:type="dxa"/>
            <w:shd w:val="clear" w:color="auto" w:fill="auto"/>
          </w:tcPr>
          <w:p w:rsidR="008B23B3" w:rsidRPr="00442B76" w:rsidRDefault="008B23B3" w:rsidP="0079772B">
            <w:pPr>
              <w:jc w:val="both"/>
              <w:rPr>
                <w:rFonts w:cstheme="minorHAnsi"/>
                <w:bCs/>
              </w:rPr>
            </w:pPr>
          </w:p>
          <w:p w:rsidR="00DD1183" w:rsidRPr="00442B76" w:rsidRDefault="00DD1183" w:rsidP="00DD1183">
            <w:pPr>
              <w:jc w:val="both"/>
              <w:rPr>
                <w:rFonts w:cstheme="minorHAnsi"/>
                <w:bCs/>
              </w:rPr>
            </w:pPr>
            <w:r w:rsidRPr="00442B76">
              <w:rPr>
                <w:rFonts w:cstheme="minorHAnsi"/>
                <w:bCs/>
              </w:rPr>
              <w:t xml:space="preserve">Charles Phillips (DECC – Chair), </w:t>
            </w:r>
            <w:r w:rsidR="00442B76" w:rsidRPr="00442B76">
              <w:rPr>
                <w:rFonts w:cstheme="minorHAnsi"/>
                <w:bCs/>
              </w:rPr>
              <w:t xml:space="preserve">Catherine Birkbeck (DECC), Nick Troja (DECC), Will Broad (DECC), Chris Hunt (DECC), Rita </w:t>
            </w:r>
            <w:proofErr w:type="spellStart"/>
            <w:r w:rsidR="00442B76" w:rsidRPr="00442B76">
              <w:rPr>
                <w:rFonts w:cstheme="minorHAnsi"/>
                <w:bCs/>
              </w:rPr>
              <w:t>Var</w:t>
            </w:r>
            <w:r w:rsidR="00D55F1A">
              <w:rPr>
                <w:rFonts w:cstheme="minorHAnsi"/>
                <w:bCs/>
              </w:rPr>
              <w:t>sani</w:t>
            </w:r>
            <w:r w:rsidR="00442B76" w:rsidRPr="00442B76">
              <w:rPr>
                <w:rFonts w:cstheme="minorHAnsi"/>
                <w:bCs/>
              </w:rPr>
              <w:t>i</w:t>
            </w:r>
            <w:proofErr w:type="spellEnd"/>
            <w:r w:rsidR="00442B76" w:rsidRPr="00442B76">
              <w:rPr>
                <w:rFonts w:cstheme="minorHAnsi"/>
                <w:bCs/>
              </w:rPr>
              <w:t xml:space="preserve"> (DECC), </w:t>
            </w:r>
            <w:r w:rsidR="00442B76" w:rsidRPr="00442B76">
              <w:rPr>
                <w:rFonts w:cstheme="minorHAnsi"/>
                <w:lang w:val="en-US"/>
              </w:rPr>
              <w:t>Carolina Valsecchi (DECC), Shahzad Khan (DECC),</w:t>
            </w:r>
            <w:r w:rsidR="003127E2">
              <w:rPr>
                <w:rFonts w:cstheme="minorHAnsi"/>
                <w:lang w:val="en-US"/>
              </w:rPr>
              <w:t xml:space="preserve"> Richard Mellish (DECC),</w:t>
            </w:r>
            <w:r w:rsidR="00442B76" w:rsidRPr="00442B76">
              <w:rPr>
                <w:rFonts w:cstheme="minorHAnsi"/>
                <w:lang w:val="en-US"/>
              </w:rPr>
              <w:t xml:space="preserve"> </w:t>
            </w:r>
            <w:r w:rsidR="001A413F">
              <w:rPr>
                <w:rFonts w:cstheme="minorHAnsi"/>
                <w:lang w:val="en-US"/>
              </w:rPr>
              <w:t xml:space="preserve">Nina </w:t>
            </w:r>
            <w:proofErr w:type="spellStart"/>
            <w:r w:rsidR="001A413F">
              <w:rPr>
                <w:rFonts w:cstheme="minorHAnsi"/>
                <w:lang w:val="en-US"/>
              </w:rPr>
              <w:t>Higham</w:t>
            </w:r>
            <w:proofErr w:type="spellEnd"/>
            <w:r w:rsidR="001A413F">
              <w:rPr>
                <w:rFonts w:cstheme="minorHAnsi"/>
                <w:lang w:val="en-US"/>
              </w:rPr>
              <w:t xml:space="preserve"> (</w:t>
            </w:r>
            <w:proofErr w:type="spellStart"/>
            <w:r w:rsidR="001A413F">
              <w:rPr>
                <w:rFonts w:cstheme="minorHAnsi"/>
                <w:lang w:val="en-US"/>
              </w:rPr>
              <w:t>Aran</w:t>
            </w:r>
            <w:proofErr w:type="spellEnd"/>
            <w:r w:rsidR="001A413F">
              <w:rPr>
                <w:rFonts w:cstheme="minorHAnsi"/>
                <w:lang w:val="en-US"/>
              </w:rPr>
              <w:t xml:space="preserve"> Services), </w:t>
            </w:r>
            <w:proofErr w:type="spellStart"/>
            <w:r w:rsidR="001A413F">
              <w:rPr>
                <w:rFonts w:cstheme="minorHAnsi"/>
                <w:lang w:val="en-US"/>
              </w:rPr>
              <w:t>Urszula</w:t>
            </w:r>
            <w:proofErr w:type="spellEnd"/>
            <w:r w:rsidR="001A413F">
              <w:rPr>
                <w:rFonts w:cstheme="minorHAnsi"/>
                <w:lang w:val="en-US"/>
              </w:rPr>
              <w:t xml:space="preserve"> Thorpe (British Gas), Graham Weller (British Gas), John </w:t>
            </w:r>
            <w:proofErr w:type="spellStart"/>
            <w:r w:rsidR="001A413F">
              <w:rPr>
                <w:rFonts w:cstheme="minorHAnsi"/>
                <w:lang w:val="en-US"/>
              </w:rPr>
              <w:t>Fawcitt</w:t>
            </w:r>
            <w:proofErr w:type="spellEnd"/>
            <w:r w:rsidR="001A413F">
              <w:rPr>
                <w:rFonts w:cstheme="minorHAnsi"/>
                <w:lang w:val="en-US"/>
              </w:rPr>
              <w:t xml:space="preserve"> (</w:t>
            </w:r>
            <w:proofErr w:type="spellStart"/>
            <w:r w:rsidR="001A413F">
              <w:rPr>
                <w:rFonts w:cstheme="minorHAnsi"/>
                <w:lang w:val="en-US"/>
              </w:rPr>
              <w:t>Certinergy</w:t>
            </w:r>
            <w:proofErr w:type="spellEnd"/>
            <w:r w:rsidR="001A413F">
              <w:rPr>
                <w:rFonts w:cstheme="minorHAnsi"/>
                <w:lang w:val="en-US"/>
              </w:rPr>
              <w:t xml:space="preserve">), Kirk Rogers (Climate Energy), Dave Nutt (EDF Energy), Sofia </w:t>
            </w:r>
            <w:proofErr w:type="spellStart"/>
            <w:r w:rsidR="001A413F">
              <w:rPr>
                <w:rFonts w:cstheme="minorHAnsi"/>
                <w:lang w:val="en-US"/>
              </w:rPr>
              <w:t>Gkiousou</w:t>
            </w:r>
            <w:proofErr w:type="spellEnd"/>
            <w:r w:rsidR="001A413F">
              <w:rPr>
                <w:rFonts w:cstheme="minorHAnsi"/>
                <w:lang w:val="en-US"/>
              </w:rPr>
              <w:t xml:space="preserve"> (Energy UK), Chris Viner (EON), Dave Wills (GAIN), David </w:t>
            </w:r>
            <w:proofErr w:type="spellStart"/>
            <w:r w:rsidR="001A413F">
              <w:rPr>
                <w:rFonts w:cstheme="minorHAnsi"/>
                <w:lang w:val="en-US"/>
              </w:rPr>
              <w:t>Macauley</w:t>
            </w:r>
            <w:proofErr w:type="spellEnd"/>
            <w:r w:rsidR="001A413F">
              <w:rPr>
                <w:rFonts w:cstheme="minorHAnsi"/>
                <w:lang w:val="en-US"/>
              </w:rPr>
              <w:t xml:space="preserve"> (Green Deal Consortia), Scott Green (Green Deal Energy Services), Jane Knight (Green Deal Network), Adrian Wright (Happy Energy), Marvin Patel (Infinity Energy), Andy Johnston (</w:t>
            </w:r>
            <w:proofErr w:type="spellStart"/>
            <w:r w:rsidR="001A413F">
              <w:rPr>
                <w:rFonts w:cstheme="minorHAnsi"/>
                <w:lang w:val="en-US"/>
              </w:rPr>
              <w:t>LGiU</w:t>
            </w:r>
            <w:proofErr w:type="spellEnd"/>
            <w:r w:rsidR="001A413F">
              <w:rPr>
                <w:rFonts w:cstheme="minorHAnsi"/>
                <w:lang w:val="en-US"/>
              </w:rPr>
              <w:t xml:space="preserve">), Mike </w:t>
            </w:r>
            <w:proofErr w:type="spellStart"/>
            <w:r w:rsidR="001A413F">
              <w:rPr>
                <w:rFonts w:cstheme="minorHAnsi"/>
                <w:lang w:val="en-US"/>
              </w:rPr>
              <w:t>Threadgold</w:t>
            </w:r>
            <w:proofErr w:type="spellEnd"/>
            <w:r w:rsidR="001A413F">
              <w:rPr>
                <w:rFonts w:cstheme="minorHAnsi"/>
                <w:lang w:val="en-US"/>
              </w:rPr>
              <w:t xml:space="preserve"> (</w:t>
            </w:r>
            <w:proofErr w:type="spellStart"/>
            <w:r w:rsidR="001A413F">
              <w:rPr>
                <w:rFonts w:cstheme="minorHAnsi"/>
                <w:lang w:val="en-US"/>
              </w:rPr>
              <w:t>Mapei</w:t>
            </w:r>
            <w:proofErr w:type="spellEnd"/>
            <w:r w:rsidR="001A413F">
              <w:rPr>
                <w:rFonts w:cstheme="minorHAnsi"/>
                <w:lang w:val="en-US"/>
              </w:rPr>
              <w:t>), Andrew Burke (National Housing Federation),</w:t>
            </w:r>
            <w:r w:rsidR="00AF2CDE">
              <w:rPr>
                <w:rFonts w:cstheme="minorHAnsi"/>
                <w:lang w:val="en-US"/>
              </w:rPr>
              <w:t xml:space="preserve"> Mike Easdon (NIA), Bob Jackson (</w:t>
            </w:r>
            <w:proofErr w:type="spellStart"/>
            <w:r w:rsidR="00AF2CDE">
              <w:rPr>
                <w:rFonts w:cstheme="minorHAnsi"/>
                <w:lang w:val="en-US"/>
              </w:rPr>
              <w:t>Npower</w:t>
            </w:r>
            <w:proofErr w:type="spellEnd"/>
            <w:r w:rsidR="00AF2CDE">
              <w:rPr>
                <w:rFonts w:cstheme="minorHAnsi"/>
                <w:lang w:val="en-US"/>
              </w:rPr>
              <w:t>), Andrew Abraham (</w:t>
            </w:r>
            <w:proofErr w:type="spellStart"/>
            <w:r w:rsidR="00AF2CDE">
              <w:rPr>
                <w:rFonts w:cstheme="minorHAnsi"/>
                <w:lang w:val="en-US"/>
              </w:rPr>
              <w:t>Ofgem</w:t>
            </w:r>
            <w:proofErr w:type="spellEnd"/>
            <w:r w:rsidR="00AF2CDE">
              <w:rPr>
                <w:rFonts w:cstheme="minorHAnsi"/>
                <w:lang w:val="en-US"/>
              </w:rPr>
              <w:t>), Kate Duffy (</w:t>
            </w:r>
            <w:proofErr w:type="spellStart"/>
            <w:r w:rsidR="00AF2CDE">
              <w:rPr>
                <w:rFonts w:cstheme="minorHAnsi"/>
                <w:lang w:val="en-US"/>
              </w:rPr>
              <w:t>Ofgem</w:t>
            </w:r>
            <w:proofErr w:type="spellEnd"/>
            <w:r w:rsidR="00AF2CDE">
              <w:rPr>
                <w:rFonts w:cstheme="minorHAnsi"/>
                <w:lang w:val="en-US"/>
              </w:rPr>
              <w:t xml:space="preserve">), </w:t>
            </w:r>
            <w:proofErr w:type="spellStart"/>
            <w:r w:rsidR="00AF2CDE">
              <w:rPr>
                <w:rFonts w:cstheme="minorHAnsi"/>
                <w:lang w:val="en-US"/>
              </w:rPr>
              <w:t>Zankhana</w:t>
            </w:r>
            <w:proofErr w:type="spellEnd"/>
            <w:r w:rsidR="00AF2CDE">
              <w:rPr>
                <w:rFonts w:cstheme="minorHAnsi"/>
                <w:lang w:val="en-US"/>
              </w:rPr>
              <w:t xml:space="preserve"> Shah (</w:t>
            </w:r>
            <w:proofErr w:type="spellStart"/>
            <w:r w:rsidR="00AF2CDE">
              <w:rPr>
                <w:rFonts w:cstheme="minorHAnsi"/>
                <w:lang w:val="en-US"/>
              </w:rPr>
              <w:t>Ofgem</w:t>
            </w:r>
            <w:proofErr w:type="spellEnd"/>
            <w:r w:rsidR="00AF2CDE">
              <w:rPr>
                <w:rFonts w:cstheme="minorHAnsi"/>
                <w:lang w:val="en-US"/>
              </w:rPr>
              <w:t xml:space="preserve">), Guy </w:t>
            </w:r>
            <w:proofErr w:type="spellStart"/>
            <w:r w:rsidR="00AF2CDE">
              <w:rPr>
                <w:rFonts w:cstheme="minorHAnsi"/>
                <w:lang w:val="en-US"/>
              </w:rPr>
              <w:t>Newey</w:t>
            </w:r>
            <w:proofErr w:type="spellEnd"/>
            <w:r w:rsidR="00AF2CDE">
              <w:rPr>
                <w:rFonts w:cstheme="minorHAnsi"/>
                <w:lang w:val="en-US"/>
              </w:rPr>
              <w:t xml:space="preserve"> (</w:t>
            </w:r>
            <w:proofErr w:type="spellStart"/>
            <w:r w:rsidR="00AF2CDE">
              <w:rPr>
                <w:rFonts w:cstheme="minorHAnsi"/>
                <w:lang w:val="en-US"/>
              </w:rPr>
              <w:t>Ovo</w:t>
            </w:r>
            <w:proofErr w:type="spellEnd"/>
            <w:r w:rsidR="00AF2CDE">
              <w:rPr>
                <w:rFonts w:cstheme="minorHAnsi"/>
                <w:lang w:val="en-US"/>
              </w:rPr>
              <w:t xml:space="preserve"> Energy), Cl</w:t>
            </w:r>
            <w:r w:rsidR="00DB5C55">
              <w:rPr>
                <w:rFonts w:cstheme="minorHAnsi"/>
                <w:lang w:val="en-US"/>
              </w:rPr>
              <w:t>aire Doherty (Scottish Power), Keith Armstrong (SSE), Glen Barber (SSE), Tobias Parker (Sustain) and Brendan Murphy (</w:t>
            </w:r>
            <w:proofErr w:type="spellStart"/>
            <w:r w:rsidR="00DB5C55">
              <w:rPr>
                <w:rFonts w:cstheme="minorHAnsi"/>
                <w:lang w:val="en-US"/>
              </w:rPr>
              <w:t>Gemserv</w:t>
            </w:r>
            <w:proofErr w:type="spellEnd"/>
            <w:r w:rsidR="00DB5C55">
              <w:rPr>
                <w:rFonts w:cstheme="minorHAnsi"/>
                <w:lang w:val="en-US"/>
              </w:rPr>
              <w:t xml:space="preserve">) </w:t>
            </w:r>
            <w:r w:rsidR="001A413F">
              <w:rPr>
                <w:rFonts w:cstheme="minorHAnsi"/>
                <w:lang w:val="en-US"/>
              </w:rPr>
              <w:t xml:space="preserve">  </w:t>
            </w:r>
          </w:p>
          <w:p w:rsidR="00BA3C8B" w:rsidRPr="00CD789B" w:rsidRDefault="00BA3C8B" w:rsidP="00541F93">
            <w:pPr>
              <w:jc w:val="both"/>
              <w:rPr>
                <w:rFonts w:cstheme="minorHAnsi"/>
              </w:rPr>
            </w:pPr>
          </w:p>
        </w:tc>
      </w:tr>
      <w:tr w:rsidR="0028671A" w:rsidRPr="00CD789B" w:rsidTr="00CD3468">
        <w:trPr>
          <w:trHeight w:val="269"/>
          <w:jc w:val="center"/>
        </w:trPr>
        <w:tc>
          <w:tcPr>
            <w:tcW w:w="1926" w:type="dxa"/>
            <w:shd w:val="clear" w:color="auto" w:fill="00B0F0"/>
          </w:tcPr>
          <w:p w:rsidR="004C5E48" w:rsidRPr="006611BF" w:rsidRDefault="004C5E48" w:rsidP="0079772B">
            <w:pPr>
              <w:jc w:val="both"/>
              <w:rPr>
                <w:rFonts w:cstheme="minorHAnsi"/>
                <w:b/>
                <w:color w:val="FFFFFF" w:themeColor="background1"/>
              </w:rPr>
            </w:pPr>
          </w:p>
          <w:p w:rsidR="0028671A" w:rsidRPr="006611BF" w:rsidRDefault="0028671A" w:rsidP="0079772B">
            <w:pPr>
              <w:jc w:val="both"/>
              <w:rPr>
                <w:rFonts w:cstheme="minorHAnsi"/>
                <w:b/>
                <w:color w:val="FFFFFF" w:themeColor="background1"/>
              </w:rPr>
            </w:pPr>
            <w:r w:rsidRPr="006611BF">
              <w:rPr>
                <w:rFonts w:cstheme="minorHAnsi"/>
                <w:b/>
                <w:color w:val="FFFFFF" w:themeColor="background1"/>
              </w:rPr>
              <w:t>Next meeting</w:t>
            </w:r>
          </w:p>
          <w:p w:rsidR="0028671A" w:rsidRPr="006611BF" w:rsidRDefault="0028671A" w:rsidP="0079772B">
            <w:pPr>
              <w:jc w:val="both"/>
              <w:rPr>
                <w:rFonts w:cstheme="minorHAnsi"/>
                <w:b/>
                <w:color w:val="FFFFFF" w:themeColor="background1"/>
              </w:rPr>
            </w:pPr>
          </w:p>
        </w:tc>
        <w:tc>
          <w:tcPr>
            <w:tcW w:w="8706" w:type="dxa"/>
          </w:tcPr>
          <w:p w:rsidR="008B23B3" w:rsidRDefault="008B23B3" w:rsidP="000261AC">
            <w:pPr>
              <w:jc w:val="both"/>
              <w:rPr>
                <w:rFonts w:cstheme="minorHAnsi"/>
              </w:rPr>
            </w:pPr>
          </w:p>
          <w:p w:rsidR="00034D1C" w:rsidRPr="00CD3468" w:rsidRDefault="007C0F1A" w:rsidP="00541F93">
            <w:pPr>
              <w:jc w:val="both"/>
              <w:rPr>
                <w:rFonts w:cstheme="minorHAnsi"/>
              </w:rPr>
            </w:pPr>
            <w:r>
              <w:rPr>
                <w:rFonts w:cstheme="minorHAnsi"/>
              </w:rPr>
              <w:t>2</w:t>
            </w:r>
            <w:r w:rsidR="00541F93">
              <w:rPr>
                <w:rFonts w:cstheme="minorHAnsi"/>
              </w:rPr>
              <w:t>-4</w:t>
            </w:r>
            <w:r w:rsidR="006611BF">
              <w:rPr>
                <w:rFonts w:cstheme="minorHAnsi"/>
              </w:rPr>
              <w:t xml:space="preserve">pm on </w:t>
            </w:r>
            <w:r w:rsidRPr="007C0F1A">
              <w:rPr>
                <w:rFonts w:cstheme="minorHAnsi"/>
                <w:b/>
              </w:rPr>
              <w:t>Fri</w:t>
            </w:r>
            <w:r w:rsidR="00034D1C" w:rsidRPr="006611BF">
              <w:rPr>
                <w:rFonts w:cstheme="minorHAnsi"/>
                <w:b/>
              </w:rPr>
              <w:t xml:space="preserve">day </w:t>
            </w:r>
            <w:r w:rsidR="00541F93">
              <w:rPr>
                <w:rFonts w:cstheme="minorHAnsi"/>
                <w:b/>
              </w:rPr>
              <w:t>28</w:t>
            </w:r>
            <w:r w:rsidR="00541F93" w:rsidRPr="00541F93">
              <w:rPr>
                <w:rFonts w:cstheme="minorHAnsi"/>
                <w:b/>
                <w:vertAlign w:val="superscript"/>
              </w:rPr>
              <w:t>th</w:t>
            </w:r>
            <w:r w:rsidR="00541F93">
              <w:rPr>
                <w:rFonts w:cstheme="minorHAnsi"/>
                <w:b/>
              </w:rPr>
              <w:t xml:space="preserve"> Novem</w:t>
            </w:r>
            <w:r w:rsidR="008B233B" w:rsidRPr="006611BF">
              <w:rPr>
                <w:rFonts w:cstheme="minorHAnsi"/>
                <w:b/>
              </w:rPr>
              <w:t>ber 2014</w:t>
            </w:r>
            <w:r w:rsidR="008B233B" w:rsidRPr="00CD3468">
              <w:rPr>
                <w:rFonts w:cstheme="minorHAnsi"/>
              </w:rPr>
              <w:t xml:space="preserve"> </w:t>
            </w:r>
            <w:r w:rsidR="008B233B" w:rsidRPr="00CD3468">
              <w:rPr>
                <w:rFonts w:cstheme="minorHAnsi"/>
                <w:color w:val="808080" w:themeColor="background1" w:themeShade="80"/>
              </w:rPr>
              <w:t>(Room</w:t>
            </w:r>
            <w:r w:rsidR="00541F93">
              <w:rPr>
                <w:rFonts w:cstheme="minorHAnsi"/>
                <w:color w:val="808080" w:themeColor="background1" w:themeShade="80"/>
              </w:rPr>
              <w:t>s</w:t>
            </w:r>
            <w:r w:rsidR="008B233B" w:rsidRPr="00CD3468">
              <w:rPr>
                <w:rFonts w:cstheme="minorHAnsi"/>
                <w:color w:val="808080" w:themeColor="background1" w:themeShade="80"/>
              </w:rPr>
              <w:t xml:space="preserve"> </w:t>
            </w:r>
            <w:r w:rsidR="00541F93">
              <w:rPr>
                <w:rFonts w:cstheme="minorHAnsi"/>
                <w:color w:val="808080" w:themeColor="background1" w:themeShade="80"/>
              </w:rPr>
              <w:t xml:space="preserve">A&amp;B, Nobel House </w:t>
            </w:r>
            <w:r w:rsidR="008B233B" w:rsidRPr="00CD3468">
              <w:rPr>
                <w:rFonts w:cstheme="minorHAnsi"/>
                <w:color w:val="808080" w:themeColor="background1" w:themeShade="80"/>
              </w:rPr>
              <w:t xml:space="preserve">– </w:t>
            </w:r>
            <w:r w:rsidR="00541F93">
              <w:rPr>
                <w:rFonts w:cstheme="minorHAnsi"/>
                <w:color w:val="808080" w:themeColor="background1" w:themeShade="80"/>
              </w:rPr>
              <w:t>DEFRA</w:t>
            </w:r>
            <w:r w:rsidR="008B233B" w:rsidRPr="00CD3468">
              <w:rPr>
                <w:rFonts w:cstheme="minorHAnsi"/>
                <w:color w:val="808080" w:themeColor="background1" w:themeShade="80"/>
              </w:rPr>
              <w:t>).</w:t>
            </w:r>
          </w:p>
        </w:tc>
      </w:tr>
    </w:tbl>
    <w:p w:rsidR="0028671A" w:rsidRDefault="0028671A" w:rsidP="0079772B">
      <w:pPr>
        <w:spacing w:before="60" w:after="0" w:line="240" w:lineRule="auto"/>
        <w:jc w:val="both"/>
        <w:rPr>
          <w:rFonts w:cstheme="minorHAnsi"/>
          <w:b/>
        </w:rPr>
      </w:pPr>
    </w:p>
    <w:p w:rsidR="004C0EF0" w:rsidRPr="008F22DC" w:rsidRDefault="004C0EF0" w:rsidP="0079772B">
      <w:pPr>
        <w:spacing w:before="60" w:after="0" w:line="240" w:lineRule="auto"/>
        <w:jc w:val="both"/>
        <w:rPr>
          <w:rFonts w:cstheme="minorHAnsi"/>
        </w:rPr>
      </w:pPr>
    </w:p>
    <w:p w:rsidR="007A5A14" w:rsidRPr="00BA3C8B" w:rsidRDefault="007A5A14" w:rsidP="00091DB6">
      <w:pPr>
        <w:pStyle w:val="ListParagraph"/>
        <w:numPr>
          <w:ilvl w:val="0"/>
          <w:numId w:val="1"/>
        </w:numPr>
        <w:spacing w:after="0" w:line="240" w:lineRule="auto"/>
        <w:ind w:left="360"/>
        <w:jc w:val="both"/>
        <w:rPr>
          <w:rFonts w:cstheme="minorHAnsi"/>
          <w:b/>
          <w:color w:val="000000" w:themeColor="text1"/>
          <w:sz w:val="28"/>
          <w:szCs w:val="28"/>
        </w:rPr>
      </w:pPr>
      <w:r w:rsidRPr="00BA3C8B">
        <w:rPr>
          <w:rFonts w:cstheme="minorHAnsi"/>
          <w:b/>
          <w:color w:val="000000" w:themeColor="text1"/>
          <w:sz w:val="28"/>
          <w:szCs w:val="28"/>
        </w:rPr>
        <w:t>Actions</w:t>
      </w:r>
      <w:r w:rsidR="005A6F32">
        <w:rPr>
          <w:rFonts w:cstheme="minorHAnsi"/>
          <w:b/>
          <w:color w:val="000000" w:themeColor="text1"/>
          <w:sz w:val="28"/>
          <w:szCs w:val="28"/>
        </w:rPr>
        <w:t xml:space="preserve"> from last meeting</w:t>
      </w:r>
    </w:p>
    <w:p w:rsidR="00123655" w:rsidRDefault="00123655" w:rsidP="00123655">
      <w:pPr>
        <w:spacing w:after="0" w:line="240" w:lineRule="auto"/>
        <w:jc w:val="both"/>
        <w:rPr>
          <w:rFonts w:cstheme="minorHAnsi"/>
          <w:color w:val="000000" w:themeColor="text1"/>
        </w:rPr>
      </w:pPr>
    </w:p>
    <w:p w:rsidR="009E4C90" w:rsidRDefault="009E4C90" w:rsidP="009E4C90">
      <w:pPr>
        <w:pStyle w:val="ListParagraph"/>
        <w:spacing w:after="0" w:line="240" w:lineRule="auto"/>
        <w:ind w:left="360"/>
        <w:jc w:val="both"/>
        <w:rPr>
          <w:rFonts w:cstheme="minorHAnsi"/>
          <w:color w:val="000000" w:themeColor="text1"/>
        </w:rPr>
      </w:pPr>
      <w:r>
        <w:rPr>
          <w:rFonts w:cstheme="minorHAnsi"/>
          <w:color w:val="000000" w:themeColor="text1"/>
        </w:rPr>
        <w:t>Two actions from previous meeting (held on 26/09/14). All a</w:t>
      </w:r>
      <w:r w:rsidRPr="00CF6238">
        <w:rPr>
          <w:rFonts w:cstheme="minorHAnsi"/>
          <w:color w:val="000000" w:themeColor="text1"/>
        </w:rPr>
        <w:t>nswered</w:t>
      </w:r>
      <w:r>
        <w:rPr>
          <w:rFonts w:cstheme="minorHAnsi"/>
          <w:color w:val="000000" w:themeColor="text1"/>
        </w:rPr>
        <w:t xml:space="preserve"> (see Action section below). In summary: </w:t>
      </w:r>
    </w:p>
    <w:p w:rsidR="009E4C90" w:rsidRDefault="009E4C90" w:rsidP="00123655">
      <w:pPr>
        <w:spacing w:after="0" w:line="240" w:lineRule="auto"/>
        <w:jc w:val="both"/>
        <w:rPr>
          <w:rFonts w:cstheme="minorHAnsi"/>
          <w:color w:val="000000" w:themeColor="text1"/>
        </w:rPr>
      </w:pPr>
    </w:p>
    <w:p w:rsidR="009E4C90" w:rsidRDefault="009E4C90" w:rsidP="00E95B69">
      <w:pPr>
        <w:pStyle w:val="ListParagraph"/>
        <w:numPr>
          <w:ilvl w:val="0"/>
          <w:numId w:val="2"/>
        </w:numPr>
        <w:spacing w:after="0" w:line="240" w:lineRule="auto"/>
        <w:rPr>
          <w:rFonts w:cstheme="minorHAnsi"/>
          <w:color w:val="000000" w:themeColor="text1"/>
        </w:rPr>
      </w:pPr>
      <w:r w:rsidRPr="006F1FE9">
        <w:rPr>
          <w:rFonts w:cstheme="minorHAnsi"/>
          <w:b/>
          <w:color w:val="000000" w:themeColor="text1"/>
        </w:rPr>
        <w:t>Action 1</w:t>
      </w:r>
      <w:r>
        <w:rPr>
          <w:rFonts w:cstheme="minorHAnsi"/>
          <w:color w:val="000000" w:themeColor="text1"/>
        </w:rPr>
        <w:t xml:space="preserve">: Put ‘substantive look at Ratings’ on Agenda for the next SG meeting </w:t>
      </w:r>
    </w:p>
    <w:p w:rsidR="009E4C90" w:rsidRDefault="009E4C90" w:rsidP="00E95B69">
      <w:pPr>
        <w:pStyle w:val="ListParagraph"/>
        <w:spacing w:after="0" w:line="240" w:lineRule="auto"/>
        <w:rPr>
          <w:rFonts w:cstheme="minorHAnsi"/>
          <w:color w:val="000000" w:themeColor="text1"/>
        </w:rPr>
      </w:pPr>
      <w:r w:rsidRPr="006F1FE9">
        <w:rPr>
          <w:rFonts w:cstheme="minorHAnsi"/>
          <w:b/>
          <w:color w:val="000000" w:themeColor="text1"/>
        </w:rPr>
        <w:t>Answer:</w:t>
      </w:r>
      <w:r>
        <w:rPr>
          <w:rFonts w:cstheme="minorHAnsi"/>
          <w:color w:val="000000" w:themeColor="text1"/>
        </w:rPr>
        <w:t xml:space="preserve"> Please see agenda item 5 </w:t>
      </w:r>
    </w:p>
    <w:p w:rsidR="006F1FE9" w:rsidRDefault="006F1FE9" w:rsidP="00E95B69">
      <w:pPr>
        <w:pStyle w:val="ListParagraph"/>
        <w:spacing w:after="0" w:line="240" w:lineRule="auto"/>
        <w:rPr>
          <w:rFonts w:cstheme="minorHAnsi"/>
          <w:color w:val="000000" w:themeColor="text1"/>
        </w:rPr>
      </w:pPr>
    </w:p>
    <w:p w:rsidR="006F1FE9" w:rsidRPr="006F1FE9" w:rsidRDefault="006F1FE9" w:rsidP="00E95B69">
      <w:pPr>
        <w:pStyle w:val="ListParagraph"/>
        <w:numPr>
          <w:ilvl w:val="0"/>
          <w:numId w:val="2"/>
        </w:numPr>
        <w:rPr>
          <w:rFonts w:cstheme="minorHAnsi"/>
          <w:color w:val="000000" w:themeColor="text1"/>
        </w:rPr>
      </w:pPr>
      <w:r w:rsidRPr="006F1FE9">
        <w:rPr>
          <w:rFonts w:cstheme="minorHAnsi"/>
          <w:b/>
          <w:color w:val="000000" w:themeColor="text1"/>
        </w:rPr>
        <w:t>Action 2:</w:t>
      </w:r>
      <w:r>
        <w:rPr>
          <w:rFonts w:cstheme="minorHAnsi"/>
          <w:color w:val="000000" w:themeColor="text1"/>
        </w:rPr>
        <w:t xml:space="preserve"> </w:t>
      </w:r>
      <w:r w:rsidRPr="006F1FE9">
        <w:rPr>
          <w:rFonts w:cstheme="minorHAnsi"/>
          <w:iCs/>
          <w:color w:val="000000" w:themeColor="text1"/>
        </w:rPr>
        <w:t>DECC to confirm if ECO2 surplus actions would be scored under ‘9.1’ (sic).</w:t>
      </w:r>
    </w:p>
    <w:p w:rsidR="006F1FE9" w:rsidRDefault="006F1FE9" w:rsidP="00E95B69">
      <w:pPr>
        <w:pStyle w:val="ListParagraph"/>
        <w:rPr>
          <w:rFonts w:cstheme="minorHAnsi"/>
          <w:bCs/>
          <w:color w:val="000000" w:themeColor="text1"/>
        </w:rPr>
      </w:pPr>
      <w:r w:rsidRPr="006F1FE9">
        <w:rPr>
          <w:rFonts w:cstheme="minorHAnsi"/>
          <w:b/>
          <w:bCs/>
          <w:color w:val="000000" w:themeColor="text1"/>
          <w:lang w:val="en-US"/>
        </w:rPr>
        <w:t>Answer:</w:t>
      </w:r>
      <w:r w:rsidRPr="006F1FE9">
        <w:rPr>
          <w:rFonts w:cstheme="minorHAnsi"/>
          <w:bCs/>
          <w:color w:val="000000" w:themeColor="text1"/>
          <w:lang w:val="en-US"/>
        </w:rPr>
        <w:t xml:space="preserve"> </w:t>
      </w:r>
      <w:r w:rsidRPr="006F1FE9">
        <w:rPr>
          <w:rFonts w:cstheme="minorHAnsi"/>
          <w:bCs/>
          <w:color w:val="000000" w:themeColor="text1"/>
        </w:rPr>
        <w:t>Surplus actions relate to measures that will be carried over from ECO1 to ECO2. The legislation allows surplus actions to be scored using either 9.91 or 9.92. Excess actions refer to measures carried over from CERT/CESP to ECO1.</w:t>
      </w:r>
    </w:p>
    <w:p w:rsidR="006F1FE9" w:rsidRPr="006F1FE9" w:rsidRDefault="006F1FE9" w:rsidP="006F1FE9">
      <w:pPr>
        <w:pStyle w:val="ListParagraph"/>
        <w:jc w:val="both"/>
        <w:rPr>
          <w:rFonts w:cstheme="minorHAnsi"/>
          <w:bCs/>
          <w:color w:val="000000" w:themeColor="text1"/>
        </w:rPr>
      </w:pPr>
    </w:p>
    <w:p w:rsidR="00627961" w:rsidRPr="00BA3C8B" w:rsidRDefault="005A6F32" w:rsidP="00091DB6">
      <w:pPr>
        <w:pStyle w:val="ListParagraph"/>
        <w:numPr>
          <w:ilvl w:val="0"/>
          <w:numId w:val="1"/>
        </w:numPr>
        <w:spacing w:after="0" w:line="240" w:lineRule="auto"/>
        <w:ind w:left="360"/>
        <w:jc w:val="both"/>
        <w:rPr>
          <w:rFonts w:cstheme="minorHAnsi"/>
          <w:b/>
          <w:color w:val="000000" w:themeColor="text1"/>
          <w:sz w:val="28"/>
          <w:szCs w:val="28"/>
        </w:rPr>
      </w:pPr>
      <w:r>
        <w:rPr>
          <w:rFonts w:cstheme="minorHAnsi"/>
          <w:b/>
          <w:color w:val="000000" w:themeColor="text1"/>
          <w:sz w:val="28"/>
          <w:szCs w:val="28"/>
        </w:rPr>
        <w:t>DECC update</w:t>
      </w:r>
    </w:p>
    <w:p w:rsidR="009D23AD" w:rsidRDefault="009D23AD" w:rsidP="00123655">
      <w:pPr>
        <w:spacing w:after="0" w:line="240" w:lineRule="auto"/>
        <w:jc w:val="both"/>
        <w:rPr>
          <w:rFonts w:cstheme="minorHAnsi"/>
          <w:color w:val="000000" w:themeColor="text1"/>
        </w:rPr>
      </w:pPr>
    </w:p>
    <w:p w:rsidR="0072197F" w:rsidRDefault="0049219D" w:rsidP="00123655">
      <w:pPr>
        <w:spacing w:after="0" w:line="240" w:lineRule="auto"/>
        <w:jc w:val="both"/>
        <w:rPr>
          <w:rFonts w:cstheme="minorHAnsi"/>
          <w:color w:val="000000" w:themeColor="text1"/>
        </w:rPr>
      </w:pPr>
      <w:r>
        <w:rPr>
          <w:rFonts w:cstheme="minorHAnsi"/>
          <w:color w:val="000000" w:themeColor="text1"/>
        </w:rPr>
        <w:t xml:space="preserve">An update was provided on the </w:t>
      </w:r>
      <w:r w:rsidR="0072197F">
        <w:rPr>
          <w:rFonts w:cstheme="minorHAnsi"/>
          <w:color w:val="000000" w:themeColor="text1"/>
        </w:rPr>
        <w:t>ECO Reporting Working Group</w:t>
      </w:r>
      <w:r>
        <w:rPr>
          <w:rFonts w:cstheme="minorHAnsi"/>
          <w:color w:val="000000" w:themeColor="text1"/>
        </w:rPr>
        <w:t>:</w:t>
      </w:r>
    </w:p>
    <w:p w:rsidR="0072197F" w:rsidRDefault="0072197F" w:rsidP="00123655">
      <w:pPr>
        <w:spacing w:after="0" w:line="240" w:lineRule="auto"/>
        <w:jc w:val="both"/>
        <w:rPr>
          <w:rFonts w:cstheme="minorHAnsi"/>
          <w:color w:val="000000" w:themeColor="text1"/>
        </w:rPr>
      </w:pPr>
    </w:p>
    <w:p w:rsidR="0072197F" w:rsidRDefault="0072197F" w:rsidP="00E95B69">
      <w:pPr>
        <w:pStyle w:val="ListParagraph"/>
        <w:numPr>
          <w:ilvl w:val="0"/>
          <w:numId w:val="2"/>
        </w:numPr>
        <w:spacing w:after="0" w:line="240" w:lineRule="auto"/>
        <w:rPr>
          <w:rFonts w:cstheme="minorHAnsi"/>
          <w:color w:val="000000" w:themeColor="text1"/>
        </w:rPr>
      </w:pPr>
      <w:r>
        <w:rPr>
          <w:rFonts w:cstheme="minorHAnsi"/>
          <w:color w:val="000000" w:themeColor="text1"/>
        </w:rPr>
        <w:t xml:space="preserve">The aims of this group are to encourage more consistency and standardisation in the information that energy companies collect from the supply chain about ECO measures.  It includes DECC, Ofgem, Essex Insulation, Energy UK and Happy Energy. </w:t>
      </w:r>
    </w:p>
    <w:p w:rsidR="00B040E3" w:rsidRDefault="00B040E3" w:rsidP="00E95B69">
      <w:pPr>
        <w:pStyle w:val="ListParagraph"/>
        <w:numPr>
          <w:ilvl w:val="0"/>
          <w:numId w:val="2"/>
        </w:numPr>
        <w:spacing w:after="0" w:line="240" w:lineRule="auto"/>
        <w:rPr>
          <w:rFonts w:cstheme="minorHAnsi"/>
          <w:color w:val="000000" w:themeColor="text1"/>
        </w:rPr>
      </w:pPr>
      <w:r>
        <w:rPr>
          <w:rFonts w:cstheme="minorHAnsi"/>
          <w:color w:val="000000" w:themeColor="text1"/>
        </w:rPr>
        <w:t xml:space="preserve">New documents published by Ofgem in May include standardised reporting templates, a matrix showing which documents that energy companies require for each measure and when they require them and an agreed file naming convention. </w:t>
      </w:r>
    </w:p>
    <w:p w:rsidR="0072197F" w:rsidRPr="0072197F" w:rsidRDefault="000B4118" w:rsidP="00E95B69">
      <w:pPr>
        <w:pStyle w:val="ListParagraph"/>
        <w:numPr>
          <w:ilvl w:val="0"/>
          <w:numId w:val="2"/>
        </w:numPr>
        <w:spacing w:after="0" w:line="240" w:lineRule="auto"/>
        <w:rPr>
          <w:rFonts w:cstheme="minorHAnsi"/>
          <w:color w:val="000000" w:themeColor="text1"/>
        </w:rPr>
      </w:pPr>
      <w:r>
        <w:rPr>
          <w:rFonts w:cstheme="minorHAnsi"/>
          <w:color w:val="000000" w:themeColor="text1"/>
        </w:rPr>
        <w:t>A number of key actions from the last meeting of the group on 8 October including</w:t>
      </w:r>
      <w:r w:rsidR="006501D9">
        <w:rPr>
          <w:rFonts w:cstheme="minorHAnsi"/>
          <w:color w:val="000000" w:themeColor="text1"/>
        </w:rPr>
        <w:t xml:space="preserve"> Energy UK working with suppliers to seek, as far as possible, standardisation of notification templates by 1 April 2015.  </w:t>
      </w:r>
    </w:p>
    <w:p w:rsidR="0072197F" w:rsidRDefault="0072197F" w:rsidP="00123655">
      <w:pPr>
        <w:spacing w:after="0" w:line="240" w:lineRule="auto"/>
        <w:jc w:val="both"/>
        <w:rPr>
          <w:rFonts w:cstheme="minorHAnsi"/>
          <w:color w:val="000000" w:themeColor="text1"/>
        </w:rPr>
      </w:pPr>
    </w:p>
    <w:p w:rsidR="006D12F3" w:rsidRDefault="006D12F3" w:rsidP="00123655">
      <w:pPr>
        <w:spacing w:after="0" w:line="240" w:lineRule="auto"/>
        <w:jc w:val="both"/>
        <w:rPr>
          <w:rFonts w:cstheme="minorHAnsi"/>
          <w:color w:val="000000" w:themeColor="text1"/>
        </w:rPr>
      </w:pPr>
      <w:r>
        <w:rPr>
          <w:rFonts w:cstheme="minorHAnsi"/>
          <w:color w:val="000000" w:themeColor="text1"/>
        </w:rPr>
        <w:t>Legislation update:</w:t>
      </w:r>
    </w:p>
    <w:p w:rsidR="006D12F3" w:rsidRDefault="006D12F3" w:rsidP="00123655">
      <w:pPr>
        <w:spacing w:after="0" w:line="240" w:lineRule="auto"/>
        <w:jc w:val="both"/>
        <w:rPr>
          <w:rFonts w:cstheme="minorHAnsi"/>
          <w:color w:val="000000" w:themeColor="text1"/>
        </w:rPr>
      </w:pPr>
    </w:p>
    <w:p w:rsidR="006D12F3" w:rsidRPr="0031746F" w:rsidRDefault="006D12F3" w:rsidP="00E95B69">
      <w:pPr>
        <w:pStyle w:val="ListParagraph"/>
        <w:numPr>
          <w:ilvl w:val="0"/>
          <w:numId w:val="5"/>
        </w:numPr>
        <w:spacing w:after="0" w:line="240" w:lineRule="auto"/>
        <w:rPr>
          <w:rFonts w:cstheme="minorHAnsi"/>
          <w:color w:val="000000" w:themeColor="text1"/>
        </w:rPr>
      </w:pPr>
      <w:r w:rsidRPr="0031746F">
        <w:rPr>
          <w:rFonts w:cstheme="minorHAnsi"/>
          <w:color w:val="000000" w:themeColor="text1"/>
        </w:rPr>
        <w:lastRenderedPageBreak/>
        <w:t>ECO 1.2 and ECO 2 legislation to be debated together in Parliament in November and come into effect by the end of the year.  SAP/</w:t>
      </w:r>
      <w:proofErr w:type="spellStart"/>
      <w:r w:rsidRPr="0031746F">
        <w:rPr>
          <w:rFonts w:cstheme="minorHAnsi"/>
          <w:color w:val="000000" w:themeColor="text1"/>
        </w:rPr>
        <w:t>RdSAP</w:t>
      </w:r>
      <w:proofErr w:type="spellEnd"/>
      <w:r w:rsidRPr="0031746F">
        <w:rPr>
          <w:rFonts w:cstheme="minorHAnsi"/>
          <w:color w:val="000000" w:themeColor="text1"/>
        </w:rPr>
        <w:t xml:space="preserve"> changes to be laid next week. </w:t>
      </w:r>
    </w:p>
    <w:p w:rsidR="0072197F" w:rsidRDefault="0072197F" w:rsidP="00123655">
      <w:pPr>
        <w:spacing w:after="0" w:line="240" w:lineRule="auto"/>
        <w:jc w:val="both"/>
        <w:rPr>
          <w:rFonts w:cstheme="minorHAnsi"/>
          <w:color w:val="000000" w:themeColor="text1"/>
        </w:rPr>
      </w:pPr>
    </w:p>
    <w:p w:rsidR="00BD192A" w:rsidRPr="00BD192A" w:rsidRDefault="005A6F32" w:rsidP="00091DB6">
      <w:pPr>
        <w:pStyle w:val="ListParagraph"/>
        <w:numPr>
          <w:ilvl w:val="0"/>
          <w:numId w:val="1"/>
        </w:numPr>
        <w:spacing w:after="0" w:line="240" w:lineRule="auto"/>
        <w:ind w:left="360"/>
        <w:jc w:val="both"/>
        <w:rPr>
          <w:rFonts w:cstheme="minorHAnsi"/>
          <w:b/>
          <w:color w:val="000000" w:themeColor="text1"/>
          <w:sz w:val="28"/>
          <w:szCs w:val="28"/>
        </w:rPr>
      </w:pPr>
      <w:r>
        <w:rPr>
          <w:rFonts w:cstheme="minorHAnsi"/>
          <w:b/>
          <w:color w:val="000000" w:themeColor="text1"/>
          <w:sz w:val="28"/>
          <w:szCs w:val="28"/>
        </w:rPr>
        <w:t>Ofgem u</w:t>
      </w:r>
      <w:r w:rsidR="00BD192A" w:rsidRPr="00BD192A">
        <w:rPr>
          <w:rFonts w:cstheme="minorHAnsi"/>
          <w:b/>
          <w:color w:val="000000" w:themeColor="text1"/>
          <w:sz w:val="28"/>
          <w:szCs w:val="28"/>
        </w:rPr>
        <w:t>pdate</w:t>
      </w:r>
    </w:p>
    <w:p w:rsidR="00D417DC" w:rsidRDefault="00D417DC" w:rsidP="00123655">
      <w:pPr>
        <w:spacing w:after="0" w:line="240" w:lineRule="auto"/>
        <w:jc w:val="both"/>
        <w:rPr>
          <w:rFonts w:cstheme="minorHAnsi"/>
          <w:color w:val="000000" w:themeColor="text1"/>
        </w:rPr>
      </w:pPr>
    </w:p>
    <w:p w:rsidR="005B61B4" w:rsidRDefault="005B61B4" w:rsidP="00123655">
      <w:pPr>
        <w:spacing w:after="0" w:line="240" w:lineRule="auto"/>
        <w:jc w:val="both"/>
        <w:rPr>
          <w:rFonts w:cstheme="minorHAnsi"/>
          <w:color w:val="000000" w:themeColor="text1"/>
        </w:rPr>
      </w:pPr>
      <w:r>
        <w:rPr>
          <w:rFonts w:cstheme="minorHAnsi"/>
          <w:color w:val="000000" w:themeColor="text1"/>
        </w:rPr>
        <w:t>Operational update:</w:t>
      </w:r>
    </w:p>
    <w:p w:rsidR="00163737" w:rsidRDefault="00163737" w:rsidP="00123655">
      <w:pPr>
        <w:spacing w:after="0" w:line="240" w:lineRule="auto"/>
        <w:jc w:val="both"/>
        <w:rPr>
          <w:rFonts w:cstheme="minorHAnsi"/>
          <w:color w:val="000000" w:themeColor="text1"/>
        </w:rPr>
      </w:pPr>
    </w:p>
    <w:p w:rsidR="00163737" w:rsidRDefault="00163737" w:rsidP="00E95B69">
      <w:pPr>
        <w:pStyle w:val="ListParagraph"/>
        <w:numPr>
          <w:ilvl w:val="0"/>
          <w:numId w:val="3"/>
        </w:numPr>
        <w:spacing w:after="0" w:line="240" w:lineRule="auto"/>
        <w:rPr>
          <w:rFonts w:cstheme="minorHAnsi"/>
          <w:color w:val="000000" w:themeColor="text1"/>
        </w:rPr>
      </w:pPr>
      <w:r>
        <w:rPr>
          <w:rFonts w:cstheme="minorHAnsi"/>
          <w:color w:val="000000" w:themeColor="text1"/>
        </w:rPr>
        <w:t xml:space="preserve">The scheme is currently 70% of the way through phases 1-3 and 100% of the aggregated HHCRO obligation has been approved, however progress of energy companies varies. </w:t>
      </w:r>
    </w:p>
    <w:p w:rsidR="00163737" w:rsidRDefault="00163737" w:rsidP="00E95B69">
      <w:pPr>
        <w:pStyle w:val="ListParagraph"/>
        <w:numPr>
          <w:ilvl w:val="0"/>
          <w:numId w:val="3"/>
        </w:numPr>
        <w:spacing w:after="0" w:line="240" w:lineRule="auto"/>
        <w:rPr>
          <w:rFonts w:cstheme="minorHAnsi"/>
          <w:color w:val="000000" w:themeColor="text1"/>
        </w:rPr>
      </w:pPr>
      <w:r>
        <w:rPr>
          <w:rFonts w:cstheme="minorHAnsi"/>
          <w:color w:val="000000" w:themeColor="text1"/>
        </w:rPr>
        <w:t>Ofgem is carrying out a Hard-to-Treat Cavity (HTTC) review</w:t>
      </w:r>
      <w:r w:rsidR="00DD208D">
        <w:rPr>
          <w:rFonts w:cstheme="minorHAnsi"/>
          <w:color w:val="000000" w:themeColor="text1"/>
        </w:rPr>
        <w:t xml:space="preserve"> and they expect to have finalised and processed the first set of measures in early November </w:t>
      </w:r>
      <w:r w:rsidR="0022534B">
        <w:rPr>
          <w:rFonts w:cstheme="minorHAnsi"/>
          <w:color w:val="000000" w:themeColor="text1"/>
        </w:rPr>
        <w:t>with the rest being finalised in late November / early December.</w:t>
      </w:r>
      <w:r w:rsidR="00BB39A4">
        <w:rPr>
          <w:rFonts w:cstheme="minorHAnsi"/>
          <w:color w:val="000000" w:themeColor="text1"/>
        </w:rPr>
        <w:t xml:space="preserve">  Following processing, measures will </w:t>
      </w:r>
      <w:proofErr w:type="gramStart"/>
      <w:r w:rsidR="00BB39A4">
        <w:rPr>
          <w:rFonts w:cstheme="minorHAnsi"/>
          <w:color w:val="000000" w:themeColor="text1"/>
        </w:rPr>
        <w:t>either be</w:t>
      </w:r>
      <w:proofErr w:type="gramEnd"/>
      <w:r w:rsidR="00BB39A4">
        <w:rPr>
          <w:rFonts w:cstheme="minorHAnsi"/>
          <w:color w:val="000000" w:themeColor="text1"/>
        </w:rPr>
        <w:t xml:space="preserve"> approved, reclassified, or rejected.</w:t>
      </w:r>
      <w:r w:rsidR="0022534B">
        <w:rPr>
          <w:rFonts w:cstheme="minorHAnsi"/>
          <w:color w:val="000000" w:themeColor="text1"/>
        </w:rPr>
        <w:t xml:space="preserve"> </w:t>
      </w:r>
    </w:p>
    <w:p w:rsidR="009C57C2" w:rsidRDefault="00BB39A4" w:rsidP="00E95B69">
      <w:pPr>
        <w:pStyle w:val="ListParagraph"/>
        <w:numPr>
          <w:ilvl w:val="0"/>
          <w:numId w:val="3"/>
        </w:numPr>
        <w:spacing w:after="0" w:line="240" w:lineRule="auto"/>
        <w:rPr>
          <w:rFonts w:cstheme="minorHAnsi"/>
          <w:color w:val="000000" w:themeColor="text1"/>
        </w:rPr>
      </w:pPr>
      <w:r>
        <w:rPr>
          <w:rFonts w:cstheme="minorHAnsi"/>
          <w:color w:val="000000" w:themeColor="text1"/>
        </w:rPr>
        <w:t xml:space="preserve">Timetable for key closedown activities has been </w:t>
      </w:r>
      <w:r w:rsidR="009C57C2">
        <w:rPr>
          <w:rFonts w:cstheme="minorHAnsi"/>
          <w:color w:val="000000" w:themeColor="text1"/>
        </w:rPr>
        <w:t>shared with obligated suppliers.</w:t>
      </w:r>
    </w:p>
    <w:p w:rsidR="009C57C2" w:rsidRDefault="009C57C2" w:rsidP="009C57C2">
      <w:pPr>
        <w:spacing w:after="0" w:line="240" w:lineRule="auto"/>
        <w:jc w:val="both"/>
        <w:rPr>
          <w:rFonts w:cstheme="minorHAnsi"/>
          <w:color w:val="000000" w:themeColor="text1"/>
        </w:rPr>
      </w:pPr>
    </w:p>
    <w:p w:rsidR="009C57C2" w:rsidRDefault="009C57C2" w:rsidP="009C57C2">
      <w:pPr>
        <w:spacing w:after="0" w:line="240" w:lineRule="auto"/>
        <w:jc w:val="both"/>
        <w:rPr>
          <w:rFonts w:cstheme="minorHAnsi"/>
          <w:color w:val="000000" w:themeColor="text1"/>
        </w:rPr>
      </w:pPr>
      <w:r>
        <w:rPr>
          <w:rFonts w:cstheme="minorHAnsi"/>
          <w:color w:val="000000" w:themeColor="text1"/>
        </w:rPr>
        <w:t>Development update:</w:t>
      </w:r>
    </w:p>
    <w:p w:rsidR="009C57C2" w:rsidRDefault="009C57C2" w:rsidP="009C57C2">
      <w:pPr>
        <w:spacing w:after="0" w:line="240" w:lineRule="auto"/>
        <w:jc w:val="both"/>
        <w:rPr>
          <w:rFonts w:cstheme="minorHAnsi"/>
          <w:color w:val="000000" w:themeColor="text1"/>
        </w:rPr>
      </w:pPr>
    </w:p>
    <w:p w:rsidR="00B70580" w:rsidRDefault="00B70580" w:rsidP="00E95B69">
      <w:pPr>
        <w:pStyle w:val="ListParagraph"/>
        <w:numPr>
          <w:ilvl w:val="0"/>
          <w:numId w:val="4"/>
        </w:numPr>
        <w:spacing w:after="0" w:line="240" w:lineRule="auto"/>
        <w:rPr>
          <w:rFonts w:cstheme="minorHAnsi"/>
          <w:color w:val="000000" w:themeColor="text1"/>
        </w:rPr>
      </w:pPr>
      <w:r>
        <w:rPr>
          <w:rFonts w:cstheme="minorHAnsi"/>
          <w:color w:val="000000" w:themeColor="text1"/>
        </w:rPr>
        <w:t xml:space="preserve">Key dates for the ECO 1.2 consultation were </w:t>
      </w:r>
      <w:r w:rsidR="00B55AC8">
        <w:rPr>
          <w:rFonts w:cstheme="minorHAnsi"/>
          <w:color w:val="000000" w:themeColor="text1"/>
        </w:rPr>
        <w:t xml:space="preserve">advised including Ofgem publishing a response to the consultation and final guidance in the first week of November. </w:t>
      </w:r>
    </w:p>
    <w:p w:rsidR="003127E2" w:rsidRDefault="003127E2" w:rsidP="00E95B69">
      <w:pPr>
        <w:pStyle w:val="ListParagraph"/>
        <w:numPr>
          <w:ilvl w:val="0"/>
          <w:numId w:val="4"/>
        </w:numPr>
        <w:spacing w:after="0" w:line="240" w:lineRule="auto"/>
        <w:rPr>
          <w:rFonts w:cstheme="minorHAnsi"/>
          <w:color w:val="000000" w:themeColor="text1"/>
        </w:rPr>
      </w:pPr>
      <w:r>
        <w:rPr>
          <w:rFonts w:cstheme="minorHAnsi"/>
          <w:color w:val="000000" w:themeColor="text1"/>
        </w:rPr>
        <w:t>A new notification template has been circulated and will be effective from the morning of 7</w:t>
      </w:r>
      <w:r w:rsidRPr="003127E2">
        <w:rPr>
          <w:rFonts w:cstheme="minorHAnsi"/>
          <w:color w:val="000000" w:themeColor="text1"/>
          <w:vertAlign w:val="superscript"/>
        </w:rPr>
        <w:t>th</w:t>
      </w:r>
      <w:r>
        <w:rPr>
          <w:rFonts w:cstheme="minorHAnsi"/>
          <w:color w:val="000000" w:themeColor="text1"/>
        </w:rPr>
        <w:t xml:space="preserve"> November and this includes changes in anticipation of ECO 1.2. </w:t>
      </w:r>
    </w:p>
    <w:p w:rsidR="0037405E" w:rsidRDefault="0037405E" w:rsidP="00E95B69">
      <w:pPr>
        <w:pStyle w:val="ListParagraph"/>
        <w:numPr>
          <w:ilvl w:val="0"/>
          <w:numId w:val="4"/>
        </w:numPr>
        <w:spacing w:after="0" w:line="240" w:lineRule="auto"/>
        <w:rPr>
          <w:rFonts w:cstheme="minorHAnsi"/>
          <w:color w:val="000000" w:themeColor="text1"/>
        </w:rPr>
      </w:pPr>
      <w:r>
        <w:rPr>
          <w:rFonts w:cstheme="minorHAnsi"/>
          <w:color w:val="000000" w:themeColor="text1"/>
        </w:rPr>
        <w:t>The ECO 2.1 consultation covers some of the HHCRO changes including non-gas fuelled premises and warranties for both boiler replacements and electric storage heater replacements.  This consultation closes on 1 December.</w:t>
      </w:r>
      <w:r w:rsidR="00281F22">
        <w:rPr>
          <w:rFonts w:cstheme="minorHAnsi"/>
          <w:color w:val="000000" w:themeColor="text1"/>
        </w:rPr>
        <w:t xml:space="preserve"> Ofgem encouraged Steering Group members to circulate this widely and respond.</w:t>
      </w:r>
    </w:p>
    <w:p w:rsidR="003127E2" w:rsidRPr="00B55AC8" w:rsidRDefault="0037405E" w:rsidP="00E95B69">
      <w:pPr>
        <w:pStyle w:val="ListParagraph"/>
        <w:numPr>
          <w:ilvl w:val="0"/>
          <w:numId w:val="4"/>
        </w:numPr>
        <w:spacing w:after="0" w:line="240" w:lineRule="auto"/>
        <w:rPr>
          <w:rFonts w:cstheme="minorHAnsi"/>
          <w:color w:val="000000" w:themeColor="text1"/>
        </w:rPr>
      </w:pPr>
      <w:r>
        <w:rPr>
          <w:rFonts w:cstheme="minorHAnsi"/>
          <w:color w:val="000000" w:themeColor="text1"/>
        </w:rPr>
        <w:t xml:space="preserve">ECO 2.2 consultation which covers the remaining areas of ECO 2 will be launched in late November and will run for seven weeks.  Final ECO 2 guidance will be published in March, incorporating ECO 2.1 guidance note.  </w:t>
      </w:r>
    </w:p>
    <w:p w:rsidR="005B61B4" w:rsidRDefault="005B61B4" w:rsidP="00123655">
      <w:pPr>
        <w:spacing w:after="0" w:line="240" w:lineRule="auto"/>
        <w:jc w:val="both"/>
        <w:rPr>
          <w:rFonts w:cstheme="minorHAnsi"/>
          <w:color w:val="000000" w:themeColor="text1"/>
        </w:rPr>
      </w:pPr>
    </w:p>
    <w:p w:rsidR="00805E5F" w:rsidRPr="00805E5F" w:rsidRDefault="005A6F32" w:rsidP="00091DB6">
      <w:pPr>
        <w:pStyle w:val="ListParagraph"/>
        <w:numPr>
          <w:ilvl w:val="0"/>
          <w:numId w:val="1"/>
        </w:numPr>
        <w:spacing w:after="0" w:line="240" w:lineRule="auto"/>
        <w:ind w:left="360"/>
        <w:jc w:val="both"/>
        <w:rPr>
          <w:rFonts w:cstheme="minorHAnsi"/>
          <w:b/>
          <w:color w:val="000000" w:themeColor="text1"/>
          <w:sz w:val="28"/>
          <w:szCs w:val="28"/>
        </w:rPr>
      </w:pPr>
      <w:r>
        <w:rPr>
          <w:rFonts w:cstheme="minorHAnsi"/>
          <w:b/>
          <w:color w:val="000000" w:themeColor="text1"/>
          <w:sz w:val="28"/>
          <w:szCs w:val="28"/>
        </w:rPr>
        <w:t>Brokerage operational review</w:t>
      </w:r>
    </w:p>
    <w:p w:rsidR="00076E33" w:rsidRDefault="00076E33" w:rsidP="00123655">
      <w:pPr>
        <w:spacing w:after="0" w:line="240" w:lineRule="auto"/>
        <w:jc w:val="both"/>
        <w:rPr>
          <w:rFonts w:cstheme="minorHAnsi"/>
          <w:color w:val="000000" w:themeColor="text1"/>
        </w:rPr>
      </w:pPr>
    </w:p>
    <w:p w:rsidR="00D541B0" w:rsidRDefault="00BC3E39" w:rsidP="00091DB6">
      <w:pPr>
        <w:pStyle w:val="ListParagraph"/>
        <w:numPr>
          <w:ilvl w:val="0"/>
          <w:numId w:val="6"/>
        </w:numPr>
        <w:spacing w:after="0" w:line="240" w:lineRule="auto"/>
        <w:jc w:val="both"/>
        <w:rPr>
          <w:rFonts w:cstheme="minorHAnsi"/>
          <w:color w:val="000000" w:themeColor="text1"/>
        </w:rPr>
      </w:pPr>
      <w:r>
        <w:rPr>
          <w:rFonts w:cstheme="minorHAnsi"/>
          <w:color w:val="000000" w:themeColor="text1"/>
        </w:rPr>
        <w:t xml:space="preserve">Contents of </w:t>
      </w:r>
      <w:r w:rsidR="00163AF2">
        <w:rPr>
          <w:rFonts w:cstheme="minorHAnsi"/>
          <w:color w:val="000000" w:themeColor="text1"/>
        </w:rPr>
        <w:t>the brokerage operation</w:t>
      </w:r>
      <w:r w:rsidR="00D55F1A">
        <w:rPr>
          <w:rFonts w:cstheme="minorHAnsi"/>
          <w:color w:val="000000" w:themeColor="text1"/>
        </w:rPr>
        <w:t>s</w:t>
      </w:r>
      <w:r w:rsidR="00163AF2">
        <w:rPr>
          <w:rFonts w:cstheme="minorHAnsi"/>
          <w:color w:val="000000" w:themeColor="text1"/>
        </w:rPr>
        <w:t xml:space="preserve"> review</w:t>
      </w:r>
      <w:r>
        <w:rPr>
          <w:rFonts w:cstheme="minorHAnsi"/>
          <w:color w:val="000000" w:themeColor="text1"/>
        </w:rPr>
        <w:t xml:space="preserve"> were discussed</w:t>
      </w:r>
      <w:r w:rsidR="00D55F1A">
        <w:rPr>
          <w:rFonts w:cstheme="minorHAnsi"/>
          <w:color w:val="000000" w:themeColor="text1"/>
        </w:rPr>
        <w:t xml:space="preserve">.  </w:t>
      </w:r>
      <w:r w:rsidR="00D541B0">
        <w:rPr>
          <w:rFonts w:cstheme="minorHAnsi"/>
          <w:color w:val="000000" w:themeColor="text1"/>
        </w:rPr>
        <w:t xml:space="preserve">This was split into two parts.   </w:t>
      </w:r>
    </w:p>
    <w:p w:rsidR="00E5326C" w:rsidRDefault="00E5326C" w:rsidP="00E5326C">
      <w:pPr>
        <w:pStyle w:val="ListParagraph"/>
        <w:spacing w:after="0" w:line="240" w:lineRule="auto"/>
        <w:jc w:val="both"/>
        <w:rPr>
          <w:rFonts w:cstheme="minorHAnsi"/>
          <w:color w:val="000000" w:themeColor="text1"/>
        </w:rPr>
      </w:pPr>
    </w:p>
    <w:p w:rsidR="00D541B0" w:rsidRDefault="00D541B0" w:rsidP="00E95B69">
      <w:pPr>
        <w:pStyle w:val="ListParagraph"/>
        <w:numPr>
          <w:ilvl w:val="0"/>
          <w:numId w:val="11"/>
        </w:numPr>
        <w:spacing w:after="0" w:line="240" w:lineRule="auto"/>
        <w:jc w:val="both"/>
        <w:rPr>
          <w:rFonts w:cstheme="minorHAnsi"/>
          <w:color w:val="000000" w:themeColor="text1"/>
        </w:rPr>
      </w:pPr>
      <w:r>
        <w:rPr>
          <w:rFonts w:cstheme="minorHAnsi"/>
          <w:color w:val="000000" w:themeColor="text1"/>
        </w:rPr>
        <w:t>Brokerage contract review.</w:t>
      </w:r>
    </w:p>
    <w:p w:rsidR="00D541B0" w:rsidRDefault="00D541B0" w:rsidP="00E95B69">
      <w:pPr>
        <w:pStyle w:val="ListParagraph"/>
        <w:numPr>
          <w:ilvl w:val="0"/>
          <w:numId w:val="11"/>
        </w:numPr>
        <w:spacing w:after="0" w:line="240" w:lineRule="auto"/>
        <w:jc w:val="both"/>
        <w:rPr>
          <w:rFonts w:cstheme="minorHAnsi"/>
          <w:color w:val="000000" w:themeColor="text1"/>
        </w:rPr>
      </w:pPr>
      <w:r>
        <w:rPr>
          <w:rFonts w:cstheme="minorHAnsi"/>
          <w:color w:val="000000" w:themeColor="text1"/>
        </w:rPr>
        <w:t xml:space="preserve">Other brokerage operations review. </w:t>
      </w:r>
    </w:p>
    <w:p w:rsidR="00F74146" w:rsidRDefault="00F74146" w:rsidP="00E95B69">
      <w:pPr>
        <w:pStyle w:val="ListParagraph"/>
        <w:spacing w:after="0" w:line="240" w:lineRule="auto"/>
        <w:ind w:left="1800"/>
        <w:jc w:val="both"/>
        <w:rPr>
          <w:rFonts w:cstheme="minorHAnsi"/>
          <w:color w:val="000000" w:themeColor="text1"/>
        </w:rPr>
      </w:pPr>
    </w:p>
    <w:p w:rsidR="00D541B0" w:rsidRDefault="00D541B0" w:rsidP="00E95B69">
      <w:pPr>
        <w:spacing w:after="0" w:line="240" w:lineRule="auto"/>
        <w:jc w:val="both"/>
        <w:rPr>
          <w:rFonts w:cstheme="minorHAnsi"/>
          <w:b/>
          <w:color w:val="000000" w:themeColor="text1"/>
        </w:rPr>
      </w:pPr>
      <w:r>
        <w:rPr>
          <w:rFonts w:cstheme="minorHAnsi"/>
          <w:b/>
          <w:color w:val="000000" w:themeColor="text1"/>
        </w:rPr>
        <w:t xml:space="preserve">Brokerage </w:t>
      </w:r>
      <w:r w:rsidRPr="00E95B69">
        <w:rPr>
          <w:rFonts w:cstheme="minorHAnsi"/>
          <w:b/>
          <w:color w:val="000000" w:themeColor="text1"/>
        </w:rPr>
        <w:t>Contract review</w:t>
      </w:r>
    </w:p>
    <w:p w:rsidR="00E95B69" w:rsidRPr="00E95B69" w:rsidRDefault="00E95B69" w:rsidP="00E95B69">
      <w:pPr>
        <w:spacing w:after="0" w:line="240" w:lineRule="auto"/>
        <w:jc w:val="both"/>
        <w:rPr>
          <w:rFonts w:cstheme="minorHAnsi"/>
          <w:b/>
          <w:color w:val="000000" w:themeColor="text1"/>
        </w:rPr>
      </w:pPr>
    </w:p>
    <w:p w:rsidR="00CE21FC" w:rsidRDefault="00D55F1A" w:rsidP="00E95B69">
      <w:pPr>
        <w:pStyle w:val="ListParagraph"/>
        <w:numPr>
          <w:ilvl w:val="0"/>
          <w:numId w:val="6"/>
        </w:numPr>
        <w:spacing w:after="0" w:line="240" w:lineRule="auto"/>
        <w:rPr>
          <w:rFonts w:cstheme="minorHAnsi"/>
          <w:color w:val="000000" w:themeColor="text1"/>
        </w:rPr>
      </w:pPr>
      <w:r w:rsidRPr="00E95B69">
        <w:rPr>
          <w:rFonts w:cstheme="minorHAnsi"/>
          <w:color w:val="000000" w:themeColor="text1"/>
        </w:rPr>
        <w:t xml:space="preserve">DECC </w:t>
      </w:r>
      <w:r w:rsidR="00F74146">
        <w:rPr>
          <w:rFonts w:cstheme="minorHAnsi"/>
          <w:color w:val="000000" w:themeColor="text1"/>
        </w:rPr>
        <w:t>offered the opportunity for f</w:t>
      </w:r>
      <w:r w:rsidRPr="00E95B69">
        <w:rPr>
          <w:rFonts w:cstheme="minorHAnsi"/>
          <w:color w:val="000000" w:themeColor="text1"/>
        </w:rPr>
        <w:t>urther</w:t>
      </w:r>
      <w:r w:rsidR="00BC3E39" w:rsidRPr="00E95B69">
        <w:rPr>
          <w:rFonts w:cstheme="minorHAnsi"/>
          <w:color w:val="000000" w:themeColor="text1"/>
        </w:rPr>
        <w:t xml:space="preserve"> </w:t>
      </w:r>
      <w:r w:rsidR="00F74146">
        <w:rPr>
          <w:rFonts w:cstheme="minorHAnsi"/>
          <w:color w:val="000000" w:themeColor="text1"/>
        </w:rPr>
        <w:t xml:space="preserve">final </w:t>
      </w:r>
      <w:r w:rsidR="00BC3E39" w:rsidRPr="00E95B69">
        <w:rPr>
          <w:rFonts w:cstheme="minorHAnsi"/>
          <w:color w:val="000000" w:themeColor="text1"/>
        </w:rPr>
        <w:t>comments on the scope of the</w:t>
      </w:r>
      <w:r w:rsidR="003C3A07" w:rsidRPr="00E95B69">
        <w:rPr>
          <w:rFonts w:cstheme="minorHAnsi"/>
          <w:color w:val="000000" w:themeColor="text1"/>
        </w:rPr>
        <w:t xml:space="preserve"> brokerage contract </w:t>
      </w:r>
      <w:r w:rsidR="00BC3E39" w:rsidRPr="00E95B69">
        <w:rPr>
          <w:rFonts w:cstheme="minorHAnsi"/>
          <w:color w:val="000000" w:themeColor="text1"/>
        </w:rPr>
        <w:t>review</w:t>
      </w:r>
      <w:r w:rsidRPr="00E95B69">
        <w:rPr>
          <w:rFonts w:cstheme="minorHAnsi"/>
          <w:color w:val="000000" w:themeColor="text1"/>
        </w:rPr>
        <w:t xml:space="preserve"> to be </w:t>
      </w:r>
      <w:r w:rsidR="00E95B69" w:rsidRPr="00E95B69">
        <w:rPr>
          <w:rFonts w:cstheme="minorHAnsi"/>
          <w:color w:val="000000" w:themeColor="text1"/>
        </w:rPr>
        <w:t>provided by</w:t>
      </w:r>
      <w:r w:rsidR="00BC3E39" w:rsidRPr="00E95B69">
        <w:rPr>
          <w:rFonts w:cstheme="minorHAnsi"/>
          <w:color w:val="000000" w:themeColor="text1"/>
        </w:rPr>
        <w:t xml:space="preserve"> 5 November. </w:t>
      </w:r>
      <w:r w:rsidR="003C3A07" w:rsidRPr="00E95B69">
        <w:rPr>
          <w:rFonts w:cstheme="minorHAnsi"/>
          <w:color w:val="000000" w:themeColor="text1"/>
        </w:rPr>
        <w:t xml:space="preserve">  In principle, new issues raised after the scope has been agreed</w:t>
      </w:r>
      <w:r w:rsidR="00D541B0">
        <w:rPr>
          <w:rFonts w:cstheme="minorHAnsi"/>
          <w:color w:val="000000" w:themeColor="text1"/>
        </w:rPr>
        <w:t>,</w:t>
      </w:r>
      <w:r w:rsidR="003C3A07" w:rsidRPr="00E95B69">
        <w:rPr>
          <w:rFonts w:cstheme="minorHAnsi"/>
          <w:color w:val="000000" w:themeColor="text1"/>
        </w:rPr>
        <w:t xml:space="preserve"> will not be considered as part of the next contract review.    All brokerage members will be consulted, within the scope agreed.  </w:t>
      </w:r>
    </w:p>
    <w:p w:rsidR="00F74146" w:rsidRPr="00E95B69" w:rsidRDefault="00F74146" w:rsidP="00E95B69">
      <w:pPr>
        <w:pStyle w:val="ListParagraph"/>
        <w:spacing w:after="0" w:line="240" w:lineRule="auto"/>
        <w:jc w:val="both"/>
        <w:rPr>
          <w:rFonts w:cstheme="minorHAnsi"/>
          <w:color w:val="000000" w:themeColor="text1"/>
        </w:rPr>
      </w:pPr>
    </w:p>
    <w:p w:rsidR="003C3A07" w:rsidRDefault="003C3A07" w:rsidP="00E95B69">
      <w:pPr>
        <w:spacing w:after="0" w:line="240" w:lineRule="auto"/>
        <w:jc w:val="both"/>
        <w:rPr>
          <w:rFonts w:cstheme="minorHAnsi"/>
          <w:b/>
          <w:color w:val="000000" w:themeColor="text1"/>
        </w:rPr>
      </w:pPr>
      <w:r w:rsidRPr="00E95B69">
        <w:rPr>
          <w:rFonts w:cstheme="minorHAnsi"/>
          <w:b/>
          <w:color w:val="000000" w:themeColor="text1"/>
        </w:rPr>
        <w:t xml:space="preserve">Other operations of brokerage </w:t>
      </w:r>
      <w:r w:rsidR="00D541B0" w:rsidRPr="00E95B69">
        <w:rPr>
          <w:rFonts w:cstheme="minorHAnsi"/>
          <w:b/>
          <w:color w:val="000000" w:themeColor="text1"/>
        </w:rPr>
        <w:t>review</w:t>
      </w:r>
    </w:p>
    <w:p w:rsidR="00E95B69" w:rsidRPr="00E95B69" w:rsidRDefault="00E95B69" w:rsidP="00E95B69">
      <w:pPr>
        <w:spacing w:after="0" w:line="240" w:lineRule="auto"/>
        <w:jc w:val="both"/>
        <w:rPr>
          <w:rFonts w:cstheme="minorHAnsi"/>
          <w:b/>
          <w:color w:val="000000" w:themeColor="text1"/>
        </w:rPr>
      </w:pPr>
    </w:p>
    <w:p w:rsidR="00163AF2" w:rsidRDefault="0088567D" w:rsidP="00091DB6">
      <w:pPr>
        <w:pStyle w:val="ListParagraph"/>
        <w:numPr>
          <w:ilvl w:val="0"/>
          <w:numId w:val="6"/>
        </w:numPr>
        <w:spacing w:after="0" w:line="240" w:lineRule="auto"/>
        <w:jc w:val="both"/>
        <w:rPr>
          <w:rFonts w:cstheme="minorHAnsi"/>
          <w:color w:val="000000" w:themeColor="text1"/>
        </w:rPr>
      </w:pPr>
      <w:r>
        <w:rPr>
          <w:rFonts w:cstheme="minorHAnsi"/>
          <w:color w:val="000000" w:themeColor="text1"/>
        </w:rPr>
        <w:t xml:space="preserve">Discussions / comments </w:t>
      </w:r>
      <w:r w:rsidR="00163AF2">
        <w:rPr>
          <w:rFonts w:cstheme="minorHAnsi"/>
          <w:color w:val="000000" w:themeColor="text1"/>
        </w:rPr>
        <w:t>included:</w:t>
      </w:r>
    </w:p>
    <w:p w:rsidR="0055384C" w:rsidRDefault="0055384C" w:rsidP="0055384C">
      <w:pPr>
        <w:pStyle w:val="ListParagraph"/>
        <w:spacing w:after="0" w:line="240" w:lineRule="auto"/>
        <w:jc w:val="both"/>
        <w:rPr>
          <w:rFonts w:cstheme="minorHAnsi"/>
          <w:color w:val="000000" w:themeColor="text1"/>
        </w:rPr>
      </w:pPr>
    </w:p>
    <w:p w:rsidR="00163AF2" w:rsidRDefault="004E504B" w:rsidP="00091DB6">
      <w:pPr>
        <w:pStyle w:val="ListParagraph"/>
        <w:numPr>
          <w:ilvl w:val="1"/>
          <w:numId w:val="6"/>
        </w:numPr>
        <w:spacing w:after="0" w:line="240" w:lineRule="auto"/>
        <w:jc w:val="both"/>
        <w:rPr>
          <w:rFonts w:cstheme="minorHAnsi"/>
          <w:color w:val="000000" w:themeColor="text1"/>
        </w:rPr>
      </w:pPr>
      <w:r>
        <w:rPr>
          <w:rFonts w:cstheme="minorHAnsi"/>
          <w:color w:val="000000" w:themeColor="text1"/>
        </w:rPr>
        <w:t>T</w:t>
      </w:r>
      <w:r w:rsidR="00163AF2">
        <w:rPr>
          <w:rFonts w:cstheme="minorHAnsi"/>
          <w:color w:val="000000" w:themeColor="text1"/>
        </w:rPr>
        <w:t>h</w:t>
      </w:r>
      <w:r w:rsidR="00C43DE5">
        <w:rPr>
          <w:rFonts w:cstheme="minorHAnsi"/>
          <w:color w:val="000000" w:themeColor="text1"/>
        </w:rPr>
        <w:t xml:space="preserve">e current commodities available are suitable and do not  need to be </w:t>
      </w:r>
      <w:r w:rsidR="00163AF2">
        <w:rPr>
          <w:rFonts w:cstheme="minorHAnsi"/>
          <w:color w:val="000000" w:themeColor="text1"/>
        </w:rPr>
        <w:t xml:space="preserve"> spilt any further;</w:t>
      </w:r>
    </w:p>
    <w:p w:rsidR="00BC3E39" w:rsidRDefault="004E504B" w:rsidP="00091DB6">
      <w:pPr>
        <w:pStyle w:val="ListParagraph"/>
        <w:numPr>
          <w:ilvl w:val="1"/>
          <w:numId w:val="6"/>
        </w:numPr>
        <w:spacing w:after="0" w:line="240" w:lineRule="auto"/>
        <w:jc w:val="both"/>
        <w:rPr>
          <w:rFonts w:cstheme="minorHAnsi"/>
          <w:color w:val="000000" w:themeColor="text1"/>
        </w:rPr>
      </w:pPr>
      <w:r>
        <w:rPr>
          <w:rFonts w:cstheme="minorHAnsi"/>
          <w:color w:val="000000" w:themeColor="text1"/>
        </w:rPr>
        <w:t>T</w:t>
      </w:r>
      <w:r w:rsidR="00163AF2">
        <w:rPr>
          <w:rFonts w:cstheme="minorHAnsi"/>
          <w:color w:val="000000" w:themeColor="text1"/>
        </w:rPr>
        <w:t>hat the</w:t>
      </w:r>
      <w:r w:rsidR="00C43DE5">
        <w:rPr>
          <w:rFonts w:cstheme="minorHAnsi"/>
          <w:color w:val="000000" w:themeColor="text1"/>
        </w:rPr>
        <w:t xml:space="preserve"> current</w:t>
      </w:r>
      <w:r w:rsidR="00163AF2">
        <w:rPr>
          <w:rFonts w:cstheme="minorHAnsi"/>
          <w:color w:val="000000" w:themeColor="text1"/>
        </w:rPr>
        <w:t xml:space="preserve"> lot sizes were</w:t>
      </w:r>
      <w:r w:rsidR="00C43DE5">
        <w:rPr>
          <w:rFonts w:cstheme="minorHAnsi"/>
          <w:color w:val="000000" w:themeColor="text1"/>
        </w:rPr>
        <w:t xml:space="preserve"> suitable</w:t>
      </w:r>
      <w:r w:rsidR="00163AF2">
        <w:rPr>
          <w:rFonts w:cstheme="minorHAnsi"/>
          <w:color w:val="000000" w:themeColor="text1"/>
        </w:rPr>
        <w:t>;</w:t>
      </w:r>
    </w:p>
    <w:p w:rsidR="00187D89" w:rsidRDefault="00C43DE5" w:rsidP="00091DB6">
      <w:pPr>
        <w:pStyle w:val="ListParagraph"/>
        <w:numPr>
          <w:ilvl w:val="1"/>
          <w:numId w:val="6"/>
        </w:numPr>
        <w:spacing w:after="0" w:line="240" w:lineRule="auto"/>
        <w:jc w:val="both"/>
        <w:rPr>
          <w:rFonts w:cstheme="minorHAnsi"/>
          <w:color w:val="000000" w:themeColor="text1"/>
        </w:rPr>
      </w:pPr>
      <w:r>
        <w:rPr>
          <w:rFonts w:cstheme="minorHAnsi"/>
          <w:color w:val="000000" w:themeColor="text1"/>
        </w:rPr>
        <w:t>There needs to be consideration about, h</w:t>
      </w:r>
      <w:r w:rsidR="00AB7309">
        <w:rPr>
          <w:rFonts w:cstheme="minorHAnsi"/>
          <w:color w:val="000000" w:themeColor="text1"/>
        </w:rPr>
        <w:t xml:space="preserve">ow best to identify and </w:t>
      </w:r>
      <w:r w:rsidR="00ED1059">
        <w:rPr>
          <w:rFonts w:cstheme="minorHAnsi"/>
          <w:color w:val="000000" w:themeColor="text1"/>
        </w:rPr>
        <w:t xml:space="preserve">potentially </w:t>
      </w:r>
      <w:r w:rsidR="00AB7309">
        <w:rPr>
          <w:rFonts w:cstheme="minorHAnsi"/>
          <w:color w:val="000000" w:themeColor="text1"/>
        </w:rPr>
        <w:t>strike</w:t>
      </w:r>
      <w:r w:rsidR="000401EA">
        <w:rPr>
          <w:rFonts w:cstheme="minorHAnsi"/>
          <w:color w:val="000000" w:themeColor="text1"/>
        </w:rPr>
        <w:t>-</w:t>
      </w:r>
      <w:r w:rsidR="00AB7309">
        <w:rPr>
          <w:rFonts w:cstheme="minorHAnsi"/>
          <w:color w:val="000000" w:themeColor="text1"/>
        </w:rPr>
        <w:t xml:space="preserve">off bad </w:t>
      </w:r>
      <w:r>
        <w:rPr>
          <w:rFonts w:cstheme="minorHAnsi"/>
          <w:color w:val="000000" w:themeColor="text1"/>
        </w:rPr>
        <w:t>sellers, trading under brokerage</w:t>
      </w:r>
      <w:r w:rsidR="00A6333D">
        <w:rPr>
          <w:rFonts w:cstheme="minorHAnsi"/>
          <w:color w:val="000000" w:themeColor="text1"/>
        </w:rPr>
        <w:t>;</w:t>
      </w:r>
    </w:p>
    <w:p w:rsidR="00E274F9" w:rsidRPr="000A71ED" w:rsidRDefault="00A85620" w:rsidP="00091DB6">
      <w:pPr>
        <w:pStyle w:val="ListParagraph"/>
        <w:numPr>
          <w:ilvl w:val="1"/>
          <w:numId w:val="6"/>
        </w:numPr>
        <w:spacing w:after="0" w:line="240" w:lineRule="auto"/>
        <w:jc w:val="both"/>
        <w:rPr>
          <w:rFonts w:cstheme="minorHAnsi"/>
          <w:color w:val="000000" w:themeColor="text1"/>
        </w:rPr>
      </w:pPr>
      <w:r>
        <w:rPr>
          <w:rFonts w:cstheme="minorHAnsi"/>
          <w:color w:val="000000" w:themeColor="text1"/>
        </w:rPr>
        <w:t xml:space="preserve">How standards could be improved under brokerage, which the SG agreed was a wider ECO issue.  </w:t>
      </w:r>
    </w:p>
    <w:p w:rsidR="006D12F3" w:rsidRDefault="006D12F3" w:rsidP="00123655">
      <w:pPr>
        <w:spacing w:after="0" w:line="240" w:lineRule="auto"/>
        <w:jc w:val="both"/>
        <w:rPr>
          <w:rFonts w:cstheme="minorHAnsi"/>
          <w:color w:val="000000" w:themeColor="text1"/>
        </w:rPr>
      </w:pPr>
    </w:p>
    <w:p w:rsidR="00805E5F" w:rsidRPr="00E95B69" w:rsidRDefault="005A6F32" w:rsidP="00E95B69">
      <w:pPr>
        <w:pStyle w:val="ListParagraph"/>
        <w:numPr>
          <w:ilvl w:val="0"/>
          <w:numId w:val="1"/>
        </w:numPr>
        <w:spacing w:after="0" w:line="240" w:lineRule="auto"/>
        <w:ind w:left="426" w:hanging="426"/>
        <w:jc w:val="both"/>
        <w:rPr>
          <w:rFonts w:cstheme="minorHAnsi"/>
          <w:b/>
          <w:color w:val="000000" w:themeColor="text1"/>
          <w:sz w:val="28"/>
          <w:szCs w:val="28"/>
        </w:rPr>
      </w:pPr>
      <w:r w:rsidRPr="00E95B69">
        <w:rPr>
          <w:rFonts w:cstheme="minorHAnsi"/>
          <w:b/>
          <w:color w:val="000000" w:themeColor="text1"/>
          <w:sz w:val="28"/>
          <w:szCs w:val="28"/>
        </w:rPr>
        <w:t>Ratings</w:t>
      </w:r>
      <w:r w:rsidR="005D6F48" w:rsidRPr="00E95B69">
        <w:rPr>
          <w:rFonts w:cstheme="minorHAnsi"/>
          <w:b/>
          <w:color w:val="000000" w:themeColor="text1"/>
          <w:sz w:val="28"/>
          <w:szCs w:val="28"/>
        </w:rPr>
        <w:t xml:space="preserve"> &amp; extending access to brokerage </w:t>
      </w:r>
    </w:p>
    <w:p w:rsidR="005A6F32" w:rsidRDefault="005A6F32" w:rsidP="005A6F32">
      <w:pPr>
        <w:pStyle w:val="ListParagraph"/>
        <w:spacing w:after="0" w:line="240" w:lineRule="auto"/>
        <w:ind w:left="360"/>
        <w:jc w:val="both"/>
        <w:rPr>
          <w:rFonts w:cstheme="minorHAnsi"/>
          <w:b/>
          <w:color w:val="000000" w:themeColor="text1"/>
          <w:sz w:val="28"/>
          <w:szCs w:val="28"/>
        </w:rPr>
      </w:pPr>
    </w:p>
    <w:p w:rsidR="007D4669" w:rsidRDefault="002F283A" w:rsidP="00E95B69">
      <w:pPr>
        <w:pStyle w:val="ListParagraph"/>
        <w:numPr>
          <w:ilvl w:val="0"/>
          <w:numId w:val="10"/>
        </w:numPr>
        <w:spacing w:after="0" w:line="240" w:lineRule="auto"/>
        <w:rPr>
          <w:rFonts w:cstheme="minorHAnsi"/>
          <w:color w:val="000000" w:themeColor="text1"/>
        </w:rPr>
      </w:pPr>
      <w:r w:rsidRPr="008A2BA9">
        <w:rPr>
          <w:rFonts w:cstheme="minorHAnsi"/>
          <w:color w:val="000000" w:themeColor="text1"/>
        </w:rPr>
        <w:lastRenderedPageBreak/>
        <w:t>DECC</w:t>
      </w:r>
      <w:r w:rsidR="007D4669">
        <w:rPr>
          <w:rFonts w:cstheme="minorHAnsi"/>
          <w:color w:val="000000" w:themeColor="text1"/>
        </w:rPr>
        <w:t xml:space="preserve"> asked the SG to consider </w:t>
      </w:r>
      <w:proofErr w:type="gramStart"/>
      <w:r w:rsidR="00A85620" w:rsidRPr="008A2BA9">
        <w:rPr>
          <w:rFonts w:cstheme="minorHAnsi"/>
          <w:color w:val="000000" w:themeColor="text1"/>
        </w:rPr>
        <w:t xml:space="preserve">whether </w:t>
      </w:r>
      <w:r w:rsidRPr="008A2BA9">
        <w:rPr>
          <w:rFonts w:cstheme="minorHAnsi"/>
          <w:color w:val="000000" w:themeColor="text1"/>
        </w:rPr>
        <w:t xml:space="preserve"> a</w:t>
      </w:r>
      <w:proofErr w:type="gramEnd"/>
      <w:r w:rsidRPr="008A2BA9">
        <w:rPr>
          <w:rFonts w:cstheme="minorHAnsi"/>
          <w:color w:val="000000" w:themeColor="text1"/>
        </w:rPr>
        <w:t xml:space="preserve"> new ratings system </w:t>
      </w:r>
      <w:r w:rsidR="00A85620" w:rsidRPr="008A2BA9">
        <w:rPr>
          <w:rFonts w:cstheme="minorHAnsi"/>
          <w:color w:val="000000" w:themeColor="text1"/>
        </w:rPr>
        <w:t xml:space="preserve">was needed </w:t>
      </w:r>
      <w:r w:rsidR="00E3544B" w:rsidRPr="008A2BA9">
        <w:rPr>
          <w:rFonts w:cstheme="minorHAnsi"/>
          <w:color w:val="000000" w:themeColor="text1"/>
        </w:rPr>
        <w:t xml:space="preserve"> to introduce </w:t>
      </w:r>
      <w:r w:rsidRPr="008A2BA9">
        <w:rPr>
          <w:rFonts w:cstheme="minorHAnsi"/>
          <w:color w:val="000000" w:themeColor="text1"/>
        </w:rPr>
        <w:t>measure quality</w:t>
      </w:r>
      <w:r w:rsidR="007A0B0F" w:rsidRPr="008A2BA9">
        <w:rPr>
          <w:rFonts w:cstheme="minorHAnsi"/>
          <w:color w:val="000000" w:themeColor="text1"/>
        </w:rPr>
        <w:t xml:space="preserve"> as a purchasing factor. </w:t>
      </w:r>
      <w:r w:rsidR="007D4669">
        <w:rPr>
          <w:rFonts w:cstheme="minorHAnsi"/>
          <w:color w:val="000000" w:themeColor="text1"/>
        </w:rPr>
        <w:t xml:space="preserve">  DECC reiterated how the administration of the current quantitative ratings system is a </w:t>
      </w:r>
      <w:r w:rsidR="00DA34E8">
        <w:rPr>
          <w:rFonts w:cstheme="minorHAnsi"/>
          <w:color w:val="000000" w:themeColor="text1"/>
        </w:rPr>
        <w:t>complex</w:t>
      </w:r>
      <w:r w:rsidR="007D4669">
        <w:rPr>
          <w:rFonts w:cstheme="minorHAnsi"/>
          <w:color w:val="000000" w:themeColor="text1"/>
        </w:rPr>
        <w:t xml:space="preserve"> </w:t>
      </w:r>
      <w:r w:rsidR="00440D27">
        <w:rPr>
          <w:rFonts w:cstheme="minorHAnsi"/>
          <w:color w:val="000000" w:themeColor="text1"/>
        </w:rPr>
        <w:t>process and</w:t>
      </w:r>
      <w:r w:rsidR="007D4669">
        <w:rPr>
          <w:rFonts w:cstheme="minorHAnsi"/>
          <w:color w:val="000000" w:themeColor="text1"/>
        </w:rPr>
        <w:t xml:space="preserve"> could pote</w:t>
      </w:r>
      <w:r w:rsidR="00F74146">
        <w:rPr>
          <w:rFonts w:cstheme="minorHAnsi"/>
          <w:color w:val="000000" w:themeColor="text1"/>
        </w:rPr>
        <w:t>ntially result in rating errors</w:t>
      </w:r>
      <w:r w:rsidR="00440D27">
        <w:rPr>
          <w:rFonts w:cstheme="minorHAnsi"/>
          <w:color w:val="000000" w:themeColor="text1"/>
        </w:rPr>
        <w:t>.</w:t>
      </w:r>
    </w:p>
    <w:p w:rsidR="007D4669" w:rsidRPr="00E95B69" w:rsidRDefault="007D4669" w:rsidP="00E95B69">
      <w:pPr>
        <w:spacing w:after="0" w:line="240" w:lineRule="auto"/>
        <w:ind w:left="360"/>
        <w:rPr>
          <w:rFonts w:cstheme="minorHAnsi"/>
          <w:color w:val="000000" w:themeColor="text1"/>
        </w:rPr>
      </w:pPr>
    </w:p>
    <w:p w:rsidR="00E95B69" w:rsidRDefault="007A0B0F" w:rsidP="00440D27">
      <w:pPr>
        <w:pStyle w:val="ListParagraph"/>
        <w:numPr>
          <w:ilvl w:val="0"/>
          <w:numId w:val="10"/>
        </w:numPr>
        <w:spacing w:after="0" w:line="240" w:lineRule="auto"/>
        <w:rPr>
          <w:rFonts w:cstheme="minorHAnsi"/>
          <w:color w:val="000000" w:themeColor="text1"/>
        </w:rPr>
      </w:pPr>
      <w:r w:rsidRPr="00E95B69">
        <w:rPr>
          <w:rFonts w:cstheme="minorHAnsi"/>
          <w:color w:val="000000" w:themeColor="text1"/>
        </w:rPr>
        <w:t>Discussions</w:t>
      </w:r>
      <w:r w:rsidR="00E3544B" w:rsidRPr="00E95B69">
        <w:rPr>
          <w:rFonts w:cstheme="minorHAnsi"/>
          <w:color w:val="000000" w:themeColor="text1"/>
        </w:rPr>
        <w:t xml:space="preserve"> includ</w:t>
      </w:r>
      <w:r w:rsidRPr="00E95B69">
        <w:rPr>
          <w:rFonts w:cstheme="minorHAnsi"/>
          <w:color w:val="000000" w:themeColor="text1"/>
        </w:rPr>
        <w:t xml:space="preserve">ed </w:t>
      </w:r>
      <w:r w:rsidR="002F283A" w:rsidRPr="008E3068">
        <w:rPr>
          <w:rFonts w:cstheme="minorHAnsi"/>
          <w:color w:val="000000" w:themeColor="text1"/>
        </w:rPr>
        <w:t xml:space="preserve">how </w:t>
      </w:r>
      <w:r w:rsidR="00A85620" w:rsidRPr="008E3068">
        <w:rPr>
          <w:rFonts w:cstheme="minorHAnsi"/>
          <w:color w:val="000000" w:themeColor="text1"/>
        </w:rPr>
        <w:t xml:space="preserve">quality could be measured.  </w:t>
      </w:r>
      <w:r w:rsidR="007042DE" w:rsidRPr="00F74146">
        <w:rPr>
          <w:rFonts w:cstheme="minorHAnsi"/>
          <w:color w:val="000000" w:themeColor="text1"/>
        </w:rPr>
        <w:t>Technical Monitoring (</w:t>
      </w:r>
      <w:r w:rsidR="002F283A" w:rsidRPr="00F74146">
        <w:rPr>
          <w:rFonts w:cstheme="minorHAnsi"/>
          <w:color w:val="000000" w:themeColor="text1"/>
        </w:rPr>
        <w:t>TM</w:t>
      </w:r>
      <w:r w:rsidR="007042DE" w:rsidRPr="00F74146">
        <w:rPr>
          <w:rFonts w:cstheme="minorHAnsi"/>
          <w:color w:val="000000" w:themeColor="text1"/>
        </w:rPr>
        <w:t>)</w:t>
      </w:r>
      <w:r w:rsidR="002F283A" w:rsidRPr="00F74146">
        <w:rPr>
          <w:rFonts w:cstheme="minorHAnsi"/>
          <w:color w:val="000000" w:themeColor="text1"/>
        </w:rPr>
        <w:t xml:space="preserve"> </w:t>
      </w:r>
      <w:r w:rsidR="00A85620" w:rsidRPr="00F74146">
        <w:rPr>
          <w:rFonts w:cstheme="minorHAnsi"/>
          <w:color w:val="000000" w:themeColor="text1"/>
        </w:rPr>
        <w:t xml:space="preserve">was suggested as </w:t>
      </w:r>
      <w:r w:rsidR="00440D27" w:rsidRPr="00F74146">
        <w:rPr>
          <w:rFonts w:cstheme="minorHAnsi"/>
          <w:color w:val="000000" w:themeColor="text1"/>
        </w:rPr>
        <w:t>a quality</w:t>
      </w:r>
      <w:r w:rsidR="00962702" w:rsidRPr="00F74146">
        <w:rPr>
          <w:rFonts w:cstheme="minorHAnsi"/>
          <w:color w:val="000000" w:themeColor="text1"/>
        </w:rPr>
        <w:t xml:space="preserve"> </w:t>
      </w:r>
      <w:r w:rsidR="008A2BA9" w:rsidRPr="00F74146">
        <w:rPr>
          <w:rFonts w:cstheme="minorHAnsi"/>
          <w:color w:val="000000" w:themeColor="text1"/>
        </w:rPr>
        <w:t xml:space="preserve">measure.  </w:t>
      </w:r>
      <w:r w:rsidR="005D6F48" w:rsidRPr="00F74146">
        <w:rPr>
          <w:rFonts w:cstheme="minorHAnsi"/>
          <w:color w:val="000000" w:themeColor="text1"/>
        </w:rPr>
        <w:t xml:space="preserve"> </w:t>
      </w:r>
      <w:r w:rsidR="00E3544B" w:rsidRPr="00F74146">
        <w:rPr>
          <w:rFonts w:cstheme="minorHAnsi"/>
          <w:color w:val="000000" w:themeColor="text1"/>
        </w:rPr>
        <w:t>The idea of a</w:t>
      </w:r>
      <w:r w:rsidR="005D6F48" w:rsidRPr="00F74146">
        <w:rPr>
          <w:rFonts w:cstheme="minorHAnsi"/>
          <w:color w:val="000000" w:themeColor="text1"/>
        </w:rPr>
        <w:t xml:space="preserve"> voluntary agreement by which GDPs </w:t>
      </w:r>
      <w:r w:rsidR="00E3544B" w:rsidRPr="00F74146">
        <w:rPr>
          <w:rFonts w:cstheme="minorHAnsi"/>
          <w:color w:val="000000" w:themeColor="text1"/>
        </w:rPr>
        <w:t xml:space="preserve">could </w:t>
      </w:r>
      <w:r w:rsidR="005D6F48" w:rsidRPr="00F74146">
        <w:rPr>
          <w:rFonts w:cstheme="minorHAnsi"/>
          <w:color w:val="000000" w:themeColor="text1"/>
        </w:rPr>
        <w:t>put their TM results on the brokerage platform for energy suppliers to see was one suggestion put forward</w:t>
      </w:r>
      <w:r w:rsidR="008A2BA9" w:rsidRPr="00F74146">
        <w:rPr>
          <w:rFonts w:cstheme="minorHAnsi"/>
          <w:color w:val="000000" w:themeColor="text1"/>
        </w:rPr>
        <w:t xml:space="preserve">.  Although, the SG acknowledged that TM is a tool for </w:t>
      </w:r>
      <w:proofErr w:type="spellStart"/>
      <w:r w:rsidR="008A2BA9" w:rsidRPr="00F74146">
        <w:rPr>
          <w:rFonts w:cstheme="minorHAnsi"/>
          <w:color w:val="000000" w:themeColor="text1"/>
        </w:rPr>
        <w:t>Ofgem</w:t>
      </w:r>
      <w:proofErr w:type="spellEnd"/>
      <w:r w:rsidR="008A2BA9" w:rsidRPr="00F74146">
        <w:rPr>
          <w:rFonts w:cstheme="minorHAnsi"/>
          <w:color w:val="000000" w:themeColor="text1"/>
        </w:rPr>
        <w:t xml:space="preserve"> to monitor the scoring method, rather than the quality of the installation.  The SG acknowledged </w:t>
      </w:r>
      <w:r w:rsidR="00E95B69" w:rsidRPr="00F74146">
        <w:rPr>
          <w:rFonts w:cstheme="minorHAnsi"/>
          <w:color w:val="000000" w:themeColor="text1"/>
        </w:rPr>
        <w:t xml:space="preserve">that </w:t>
      </w:r>
      <w:r w:rsidR="00E95B69">
        <w:rPr>
          <w:rFonts w:cstheme="minorHAnsi"/>
          <w:color w:val="000000" w:themeColor="text1"/>
        </w:rPr>
        <w:t>an</w:t>
      </w:r>
      <w:r w:rsidR="00F74146">
        <w:rPr>
          <w:rFonts w:cstheme="minorHAnsi"/>
          <w:color w:val="000000" w:themeColor="text1"/>
        </w:rPr>
        <w:t xml:space="preserve"> </w:t>
      </w:r>
      <w:r w:rsidR="00E95B69">
        <w:rPr>
          <w:rFonts w:cstheme="minorHAnsi"/>
          <w:color w:val="000000" w:themeColor="text1"/>
        </w:rPr>
        <w:t xml:space="preserve">appropriate </w:t>
      </w:r>
      <w:r w:rsidR="00E95B69" w:rsidRPr="008E3068">
        <w:rPr>
          <w:rFonts w:cstheme="minorHAnsi"/>
          <w:color w:val="000000" w:themeColor="text1"/>
        </w:rPr>
        <w:t>way</w:t>
      </w:r>
      <w:r w:rsidR="005D6F48" w:rsidRPr="008E3068">
        <w:rPr>
          <w:rFonts w:cstheme="minorHAnsi"/>
          <w:color w:val="000000" w:themeColor="text1"/>
        </w:rPr>
        <w:t xml:space="preserve"> to increase quality acro</w:t>
      </w:r>
      <w:r w:rsidR="0094330B" w:rsidRPr="00F74146">
        <w:rPr>
          <w:rFonts w:cstheme="minorHAnsi"/>
          <w:color w:val="000000" w:themeColor="text1"/>
        </w:rPr>
        <w:t xml:space="preserve">ss the sector is to improve </w:t>
      </w:r>
      <w:r w:rsidR="008A2BA9" w:rsidRPr="00F74146">
        <w:rPr>
          <w:rFonts w:cstheme="minorHAnsi"/>
          <w:color w:val="000000" w:themeColor="text1"/>
        </w:rPr>
        <w:t xml:space="preserve">standards including </w:t>
      </w:r>
      <w:r w:rsidR="0094330B" w:rsidRPr="00F74146">
        <w:rPr>
          <w:rFonts w:cstheme="minorHAnsi"/>
          <w:color w:val="000000" w:themeColor="text1"/>
        </w:rPr>
        <w:t>PAS</w:t>
      </w:r>
      <w:r w:rsidR="00DA34E8" w:rsidRPr="00F74146">
        <w:rPr>
          <w:rFonts w:cstheme="minorHAnsi"/>
          <w:color w:val="000000" w:themeColor="text1"/>
        </w:rPr>
        <w:t>, and this is a</w:t>
      </w:r>
      <w:r w:rsidR="008A2BA9" w:rsidRPr="00F74146">
        <w:rPr>
          <w:rFonts w:cstheme="minorHAnsi"/>
          <w:color w:val="000000" w:themeColor="text1"/>
        </w:rPr>
        <w:t xml:space="preserve"> wider </w:t>
      </w:r>
      <w:r w:rsidR="00E95B69" w:rsidRPr="00F74146">
        <w:rPr>
          <w:rFonts w:cstheme="minorHAnsi"/>
          <w:color w:val="000000" w:themeColor="text1"/>
        </w:rPr>
        <w:t>ECO issue.</w:t>
      </w:r>
    </w:p>
    <w:p w:rsidR="00E95B69" w:rsidRPr="00E95B69" w:rsidRDefault="00E95B69" w:rsidP="00E95B69">
      <w:pPr>
        <w:pStyle w:val="ListParagraph"/>
        <w:spacing w:after="0" w:line="240" w:lineRule="auto"/>
        <w:jc w:val="both"/>
        <w:rPr>
          <w:rFonts w:cstheme="minorHAnsi"/>
          <w:color w:val="000000" w:themeColor="text1"/>
        </w:rPr>
      </w:pPr>
    </w:p>
    <w:p w:rsidR="00F74146" w:rsidRDefault="00F74146" w:rsidP="00E95B69">
      <w:pPr>
        <w:pStyle w:val="ListParagraph"/>
        <w:numPr>
          <w:ilvl w:val="0"/>
          <w:numId w:val="1"/>
        </w:numPr>
        <w:ind w:left="426" w:hanging="426"/>
        <w:rPr>
          <w:b/>
          <w:sz w:val="28"/>
          <w:szCs w:val="28"/>
        </w:rPr>
      </w:pPr>
      <w:r w:rsidRPr="00E95B69">
        <w:rPr>
          <w:b/>
          <w:sz w:val="28"/>
          <w:szCs w:val="28"/>
        </w:rPr>
        <w:t>Extending access to brokerage</w:t>
      </w:r>
    </w:p>
    <w:p w:rsidR="00E95B69" w:rsidRPr="00E95B69" w:rsidRDefault="00E95B69" w:rsidP="00E95B69">
      <w:pPr>
        <w:pStyle w:val="ListParagraph"/>
        <w:rPr>
          <w:b/>
          <w:sz w:val="28"/>
          <w:szCs w:val="28"/>
        </w:rPr>
      </w:pPr>
    </w:p>
    <w:p w:rsidR="007A0B0F" w:rsidRPr="00091DB6" w:rsidRDefault="007A0B0F" w:rsidP="00E95B69">
      <w:pPr>
        <w:pStyle w:val="ListParagraph"/>
        <w:numPr>
          <w:ilvl w:val="0"/>
          <w:numId w:val="10"/>
        </w:numPr>
        <w:spacing w:after="0" w:line="240" w:lineRule="auto"/>
        <w:rPr>
          <w:rFonts w:cstheme="minorHAnsi"/>
          <w:color w:val="000000" w:themeColor="text1"/>
        </w:rPr>
      </w:pPr>
      <w:r w:rsidRPr="00091DB6">
        <w:rPr>
          <w:rFonts w:cstheme="minorHAnsi"/>
          <w:color w:val="000000" w:themeColor="text1"/>
        </w:rPr>
        <w:t>To aid access for local authorities and registered social housing providers, i</w:t>
      </w:r>
      <w:r w:rsidR="003C5DE5" w:rsidRPr="00091DB6">
        <w:rPr>
          <w:rFonts w:cstheme="minorHAnsi"/>
          <w:color w:val="000000" w:themeColor="text1"/>
        </w:rPr>
        <w:t xml:space="preserve">n the </w:t>
      </w:r>
      <w:r w:rsidR="008A2BA9">
        <w:rPr>
          <w:rFonts w:cstheme="minorHAnsi"/>
          <w:color w:val="000000" w:themeColor="text1"/>
        </w:rPr>
        <w:t>N</w:t>
      </w:r>
      <w:r w:rsidR="003C5DE5" w:rsidRPr="00091DB6">
        <w:rPr>
          <w:rFonts w:cstheme="minorHAnsi"/>
          <w:color w:val="000000" w:themeColor="text1"/>
        </w:rPr>
        <w:t xml:space="preserve">ew </w:t>
      </w:r>
      <w:r w:rsidR="008A2BA9">
        <w:rPr>
          <w:rFonts w:cstheme="minorHAnsi"/>
          <w:color w:val="000000" w:themeColor="text1"/>
        </w:rPr>
        <w:t>Y</w:t>
      </w:r>
      <w:r w:rsidR="003C5DE5" w:rsidRPr="00091DB6">
        <w:rPr>
          <w:rFonts w:cstheme="minorHAnsi"/>
          <w:color w:val="000000" w:themeColor="text1"/>
        </w:rPr>
        <w:t xml:space="preserve">ear, DECC will be planning and developing brokerage awareness material to assist them in preparing for trading on brokerage. </w:t>
      </w:r>
    </w:p>
    <w:p w:rsidR="00091DB6" w:rsidRPr="00E565AA" w:rsidRDefault="00091DB6" w:rsidP="00E95B69">
      <w:pPr>
        <w:spacing w:after="0" w:line="240" w:lineRule="auto"/>
        <w:rPr>
          <w:rFonts w:cstheme="minorHAnsi"/>
          <w:color w:val="000000" w:themeColor="text1"/>
        </w:rPr>
      </w:pPr>
    </w:p>
    <w:p w:rsidR="00E565AA" w:rsidRPr="00091DB6" w:rsidRDefault="00567075" w:rsidP="00E95B69">
      <w:pPr>
        <w:pStyle w:val="ListParagraph"/>
        <w:numPr>
          <w:ilvl w:val="0"/>
          <w:numId w:val="10"/>
        </w:numPr>
        <w:spacing w:after="0" w:line="240" w:lineRule="auto"/>
        <w:rPr>
          <w:rFonts w:cstheme="minorHAnsi"/>
          <w:color w:val="000000" w:themeColor="text1"/>
        </w:rPr>
      </w:pPr>
      <w:r w:rsidRPr="00091DB6">
        <w:rPr>
          <w:rFonts w:cstheme="minorHAnsi"/>
          <w:color w:val="000000" w:themeColor="text1"/>
        </w:rPr>
        <w:t xml:space="preserve">DECC will be monitoring the outcome of the new FCA requirements requiring GDPs to apply for full CCA permissions.  </w:t>
      </w:r>
      <w:r w:rsidR="0031746F" w:rsidRPr="00091DB6">
        <w:rPr>
          <w:rFonts w:cstheme="minorHAnsi"/>
          <w:color w:val="000000" w:themeColor="text1"/>
        </w:rPr>
        <w:t>Concerns</w:t>
      </w:r>
      <w:r w:rsidR="000F530E" w:rsidRPr="00091DB6">
        <w:rPr>
          <w:rFonts w:cstheme="minorHAnsi"/>
          <w:color w:val="000000" w:themeColor="text1"/>
        </w:rPr>
        <w:t xml:space="preserve"> were</w:t>
      </w:r>
      <w:r w:rsidR="0031746F" w:rsidRPr="00091DB6">
        <w:rPr>
          <w:rFonts w:cstheme="minorHAnsi"/>
          <w:color w:val="000000" w:themeColor="text1"/>
        </w:rPr>
        <w:t xml:space="preserve"> raised by some members that the new FCA requirements </w:t>
      </w:r>
      <w:r w:rsidR="004A2A2E">
        <w:rPr>
          <w:rFonts w:cstheme="minorHAnsi"/>
          <w:color w:val="000000" w:themeColor="text1"/>
        </w:rPr>
        <w:t>may</w:t>
      </w:r>
      <w:r w:rsidR="0031746F" w:rsidRPr="00091DB6">
        <w:rPr>
          <w:rFonts w:cstheme="minorHAnsi"/>
          <w:color w:val="000000" w:themeColor="text1"/>
        </w:rPr>
        <w:t xml:space="preserve"> mean that </w:t>
      </w:r>
      <w:r w:rsidR="004A2A2E">
        <w:rPr>
          <w:rFonts w:cstheme="minorHAnsi"/>
          <w:color w:val="000000" w:themeColor="text1"/>
        </w:rPr>
        <w:t>a number of</w:t>
      </w:r>
      <w:r w:rsidR="0031746F" w:rsidRPr="00091DB6">
        <w:rPr>
          <w:rFonts w:cstheme="minorHAnsi"/>
          <w:color w:val="000000" w:themeColor="text1"/>
        </w:rPr>
        <w:t xml:space="preserve"> GDPs won’t be able to meet them and this will have an impact on brokerage. </w:t>
      </w:r>
      <w:r w:rsidR="004A2A2E">
        <w:rPr>
          <w:rFonts w:cstheme="minorHAnsi"/>
          <w:color w:val="000000" w:themeColor="text1"/>
        </w:rPr>
        <w:t xml:space="preserve">DECC confirmed that existing GDPs will continue to have access to brokerage.  New brokerage members will continue to require authorisation by the GD ORB.   DECC will </w:t>
      </w:r>
      <w:r w:rsidR="008E3068">
        <w:rPr>
          <w:rFonts w:cstheme="minorHAnsi"/>
          <w:color w:val="000000" w:themeColor="text1"/>
        </w:rPr>
        <w:t>consider next year, the due diligence requirements for access to others</w:t>
      </w:r>
      <w:r w:rsidR="00E565AA" w:rsidRPr="00091DB6">
        <w:rPr>
          <w:rFonts w:cstheme="minorHAnsi"/>
          <w:color w:val="000000" w:themeColor="text1"/>
        </w:rPr>
        <w:t>.</w:t>
      </w:r>
    </w:p>
    <w:p w:rsidR="002F283A" w:rsidRPr="00E565AA" w:rsidRDefault="002F283A" w:rsidP="00E565AA">
      <w:pPr>
        <w:spacing w:after="0" w:line="240" w:lineRule="auto"/>
        <w:jc w:val="both"/>
        <w:rPr>
          <w:rFonts w:cstheme="minorHAnsi"/>
          <w:color w:val="000000" w:themeColor="text1"/>
        </w:rPr>
      </w:pPr>
    </w:p>
    <w:p w:rsidR="0031746F" w:rsidRPr="0031746F" w:rsidRDefault="0031746F" w:rsidP="0031746F">
      <w:pPr>
        <w:pStyle w:val="ListParagraph"/>
        <w:spacing w:after="0" w:line="240" w:lineRule="auto"/>
        <w:jc w:val="both"/>
        <w:rPr>
          <w:rFonts w:cstheme="minorHAnsi"/>
          <w:color w:val="000000" w:themeColor="text1"/>
        </w:rPr>
      </w:pPr>
    </w:p>
    <w:p w:rsidR="00401F48" w:rsidRDefault="00401F48" w:rsidP="00E95B69">
      <w:pPr>
        <w:pStyle w:val="ListParagraph"/>
        <w:numPr>
          <w:ilvl w:val="0"/>
          <w:numId w:val="1"/>
        </w:numPr>
        <w:spacing w:after="0" w:line="240" w:lineRule="auto"/>
        <w:ind w:left="426" w:hanging="426"/>
        <w:jc w:val="both"/>
        <w:rPr>
          <w:rFonts w:cstheme="minorHAnsi"/>
          <w:b/>
          <w:color w:val="000000" w:themeColor="text1"/>
          <w:sz w:val="28"/>
          <w:szCs w:val="28"/>
        </w:rPr>
      </w:pPr>
      <w:r>
        <w:rPr>
          <w:rFonts w:cstheme="minorHAnsi"/>
          <w:b/>
          <w:color w:val="000000" w:themeColor="text1"/>
          <w:sz w:val="28"/>
          <w:szCs w:val="28"/>
        </w:rPr>
        <w:t xml:space="preserve">Future of ECO: 2017 and beyond </w:t>
      </w:r>
    </w:p>
    <w:p w:rsidR="000B2C04" w:rsidRDefault="000B2C04" w:rsidP="000B2C04">
      <w:pPr>
        <w:pStyle w:val="NoSpacing"/>
      </w:pPr>
    </w:p>
    <w:p w:rsidR="002A6DEE" w:rsidRDefault="00E565AA" w:rsidP="000B2C04">
      <w:pPr>
        <w:rPr>
          <w:rFonts w:cstheme="minorHAnsi"/>
          <w:color w:val="000000" w:themeColor="text1"/>
          <w:lang w:val="en-US"/>
        </w:rPr>
      </w:pPr>
      <w:r>
        <w:rPr>
          <w:rFonts w:cstheme="minorHAnsi"/>
          <w:color w:val="000000" w:themeColor="text1"/>
          <w:lang w:val="en-US"/>
        </w:rPr>
        <w:t>DECC asked for feedback from the Steering Group on th</w:t>
      </w:r>
      <w:r w:rsidR="002A6DEE">
        <w:rPr>
          <w:rFonts w:cstheme="minorHAnsi"/>
          <w:color w:val="000000" w:themeColor="text1"/>
          <w:lang w:val="en-US"/>
        </w:rPr>
        <w:t>ree topics that would were being considered about for the post 2017 period.</w:t>
      </w:r>
    </w:p>
    <w:p w:rsidR="0031746F" w:rsidRPr="00644395" w:rsidRDefault="00901BB3" w:rsidP="000B2C04">
      <w:pPr>
        <w:rPr>
          <w:rFonts w:cstheme="minorHAnsi"/>
          <w:i/>
          <w:color w:val="000000" w:themeColor="text1"/>
        </w:rPr>
      </w:pPr>
      <w:r w:rsidRPr="00644395">
        <w:rPr>
          <w:rFonts w:cstheme="minorHAnsi"/>
          <w:i/>
          <w:color w:val="000000" w:themeColor="text1"/>
          <w:lang w:val="en-US"/>
        </w:rPr>
        <w:t>How could the framework for monitoring and regulating installations be streamlined and made more robust, in order to improve installation standards for ECO measures?</w:t>
      </w:r>
    </w:p>
    <w:p w:rsidR="000B2C04" w:rsidRDefault="006E233B" w:rsidP="00091DB6">
      <w:pPr>
        <w:pStyle w:val="ListParagraph"/>
        <w:numPr>
          <w:ilvl w:val="0"/>
          <w:numId w:val="8"/>
        </w:numPr>
        <w:rPr>
          <w:rFonts w:cstheme="minorHAnsi"/>
          <w:color w:val="000000" w:themeColor="text1"/>
        </w:rPr>
      </w:pPr>
      <w:r>
        <w:rPr>
          <w:rFonts w:cstheme="minorHAnsi"/>
          <w:color w:val="000000" w:themeColor="text1"/>
        </w:rPr>
        <w:t>One suggestion</w:t>
      </w:r>
      <w:r w:rsidR="002A6DEE">
        <w:rPr>
          <w:rFonts w:cstheme="minorHAnsi"/>
          <w:color w:val="000000" w:themeColor="text1"/>
        </w:rPr>
        <w:t xml:space="preserve"> was for </w:t>
      </w:r>
      <w:r w:rsidR="00DA6E90">
        <w:rPr>
          <w:rFonts w:cstheme="minorHAnsi"/>
          <w:color w:val="000000" w:themeColor="text1"/>
        </w:rPr>
        <w:t xml:space="preserve">an industry wide accreditation body that sets the quality standards </w:t>
      </w:r>
      <w:r w:rsidR="007042DE">
        <w:rPr>
          <w:rFonts w:cstheme="minorHAnsi"/>
          <w:color w:val="000000" w:themeColor="text1"/>
        </w:rPr>
        <w:t xml:space="preserve">across the </w:t>
      </w:r>
      <w:r w:rsidR="00DA6E90">
        <w:rPr>
          <w:rFonts w:cstheme="minorHAnsi"/>
          <w:color w:val="000000" w:themeColor="text1"/>
        </w:rPr>
        <w:t xml:space="preserve">industry and has the ability to enforce it.  </w:t>
      </w:r>
    </w:p>
    <w:p w:rsidR="00DA6E90" w:rsidRDefault="00DA6E90" w:rsidP="00091DB6">
      <w:pPr>
        <w:pStyle w:val="ListParagraph"/>
        <w:numPr>
          <w:ilvl w:val="0"/>
          <w:numId w:val="8"/>
        </w:numPr>
        <w:rPr>
          <w:rFonts w:cstheme="minorHAnsi"/>
          <w:color w:val="000000" w:themeColor="text1"/>
        </w:rPr>
      </w:pPr>
      <w:r>
        <w:rPr>
          <w:rFonts w:cstheme="minorHAnsi"/>
          <w:color w:val="000000" w:themeColor="text1"/>
        </w:rPr>
        <w:t xml:space="preserve">The limitations of TM were discussed in the context of assessing the quality of installations. </w:t>
      </w:r>
      <w:r w:rsidR="002A6DEE">
        <w:rPr>
          <w:rFonts w:cstheme="minorHAnsi"/>
          <w:color w:val="000000" w:themeColor="text1"/>
        </w:rPr>
        <w:t>There was general agreement that</w:t>
      </w:r>
      <w:r>
        <w:rPr>
          <w:rFonts w:cstheme="minorHAnsi"/>
          <w:color w:val="000000" w:themeColor="text1"/>
        </w:rPr>
        <w:t xml:space="preserve"> TM </w:t>
      </w:r>
      <w:r w:rsidR="007042DE">
        <w:rPr>
          <w:rFonts w:cstheme="minorHAnsi"/>
          <w:color w:val="000000" w:themeColor="text1"/>
        </w:rPr>
        <w:t>is more</w:t>
      </w:r>
      <w:r w:rsidR="00B65CEE">
        <w:rPr>
          <w:rFonts w:cstheme="minorHAnsi"/>
          <w:color w:val="000000" w:themeColor="text1"/>
        </w:rPr>
        <w:t xml:space="preserve"> </w:t>
      </w:r>
      <w:r w:rsidR="002A6DEE">
        <w:rPr>
          <w:rFonts w:cstheme="minorHAnsi"/>
          <w:color w:val="000000" w:themeColor="text1"/>
        </w:rPr>
        <w:t xml:space="preserve">for </w:t>
      </w:r>
      <w:r w:rsidR="00B65CEE">
        <w:rPr>
          <w:rFonts w:cstheme="minorHAnsi"/>
          <w:color w:val="000000" w:themeColor="text1"/>
        </w:rPr>
        <w:t>compliance monitoring and it shouldn’t be used for som</w:t>
      </w:r>
      <w:r w:rsidR="004F06F8">
        <w:rPr>
          <w:rFonts w:cstheme="minorHAnsi"/>
          <w:color w:val="000000" w:themeColor="text1"/>
        </w:rPr>
        <w:t>ething it was not intended for</w:t>
      </w:r>
      <w:r w:rsidR="002A6DEE">
        <w:rPr>
          <w:rFonts w:cstheme="minorHAnsi"/>
          <w:color w:val="000000" w:themeColor="text1"/>
        </w:rPr>
        <w:t xml:space="preserve"> ie monitoring installation quality for industry</w:t>
      </w:r>
      <w:r w:rsidR="00B65CEE">
        <w:rPr>
          <w:rFonts w:cstheme="minorHAnsi"/>
          <w:color w:val="000000" w:themeColor="text1"/>
        </w:rPr>
        <w:t>.</w:t>
      </w:r>
    </w:p>
    <w:p w:rsidR="007C1163" w:rsidRDefault="007C1163" w:rsidP="00091DB6">
      <w:pPr>
        <w:pStyle w:val="ListParagraph"/>
        <w:numPr>
          <w:ilvl w:val="0"/>
          <w:numId w:val="8"/>
        </w:numPr>
        <w:rPr>
          <w:rFonts w:cstheme="minorHAnsi"/>
          <w:color w:val="000000" w:themeColor="text1"/>
        </w:rPr>
      </w:pPr>
      <w:r>
        <w:rPr>
          <w:rFonts w:cstheme="minorHAnsi"/>
          <w:color w:val="000000" w:themeColor="text1"/>
        </w:rPr>
        <w:t xml:space="preserve">Deemed scoring was mentioned as </w:t>
      </w:r>
      <w:r w:rsidR="000E6273">
        <w:rPr>
          <w:rFonts w:cstheme="minorHAnsi"/>
          <w:color w:val="000000" w:themeColor="text1"/>
        </w:rPr>
        <w:t xml:space="preserve">a way to simplify scoring and </w:t>
      </w:r>
      <w:r w:rsidR="00A16C84">
        <w:rPr>
          <w:rFonts w:cstheme="minorHAnsi"/>
          <w:color w:val="000000" w:themeColor="text1"/>
        </w:rPr>
        <w:t xml:space="preserve">compliance. </w:t>
      </w:r>
    </w:p>
    <w:p w:rsidR="004F06F8" w:rsidRDefault="002A6DEE" w:rsidP="00091DB6">
      <w:pPr>
        <w:pStyle w:val="ListParagraph"/>
        <w:numPr>
          <w:ilvl w:val="0"/>
          <w:numId w:val="8"/>
        </w:numPr>
        <w:rPr>
          <w:rFonts w:cstheme="minorHAnsi"/>
          <w:color w:val="000000" w:themeColor="text1"/>
        </w:rPr>
      </w:pPr>
      <w:r>
        <w:rPr>
          <w:rFonts w:cstheme="minorHAnsi"/>
          <w:color w:val="000000" w:themeColor="text1"/>
        </w:rPr>
        <w:t xml:space="preserve">There was some feedback that suggested </w:t>
      </w:r>
      <w:r w:rsidR="00760D3F">
        <w:rPr>
          <w:rFonts w:cstheme="minorHAnsi"/>
          <w:color w:val="000000" w:themeColor="text1"/>
        </w:rPr>
        <w:t xml:space="preserve">PAS 2030 is being abused by some installers </w:t>
      </w:r>
      <w:r>
        <w:rPr>
          <w:rFonts w:cstheme="minorHAnsi"/>
          <w:color w:val="000000" w:themeColor="text1"/>
        </w:rPr>
        <w:t xml:space="preserve">(accreditation without training, people operating under accredited umbrella organisations) </w:t>
      </w:r>
      <w:r w:rsidR="00760D3F">
        <w:rPr>
          <w:rFonts w:cstheme="minorHAnsi"/>
          <w:color w:val="000000" w:themeColor="text1"/>
        </w:rPr>
        <w:t xml:space="preserve">and the level of </w:t>
      </w:r>
      <w:r>
        <w:rPr>
          <w:rFonts w:cstheme="minorHAnsi"/>
          <w:color w:val="000000" w:themeColor="text1"/>
        </w:rPr>
        <w:t>monitor</w:t>
      </w:r>
      <w:r w:rsidR="00760D3F">
        <w:rPr>
          <w:rFonts w:cstheme="minorHAnsi"/>
          <w:color w:val="000000" w:themeColor="text1"/>
        </w:rPr>
        <w:t xml:space="preserve">ing needs to be </w:t>
      </w:r>
      <w:r>
        <w:rPr>
          <w:rFonts w:cstheme="minorHAnsi"/>
          <w:color w:val="000000" w:themeColor="text1"/>
        </w:rPr>
        <w:t>im</w:t>
      </w:r>
      <w:r w:rsidR="00760D3F">
        <w:rPr>
          <w:rFonts w:cstheme="minorHAnsi"/>
          <w:color w:val="000000" w:themeColor="text1"/>
        </w:rPr>
        <w:t xml:space="preserve">proved. </w:t>
      </w:r>
    </w:p>
    <w:p w:rsidR="00F76C00" w:rsidRPr="003D35E9" w:rsidRDefault="002A6DEE" w:rsidP="00091DB6">
      <w:pPr>
        <w:pStyle w:val="ListParagraph"/>
        <w:numPr>
          <w:ilvl w:val="0"/>
          <w:numId w:val="8"/>
        </w:numPr>
        <w:rPr>
          <w:rFonts w:cstheme="minorHAnsi"/>
          <w:color w:val="000000" w:themeColor="text1"/>
        </w:rPr>
      </w:pPr>
      <w:r w:rsidRPr="003D35E9">
        <w:rPr>
          <w:rFonts w:cstheme="minorHAnsi"/>
          <w:color w:val="000000" w:themeColor="text1"/>
        </w:rPr>
        <w:t>While it was agreed that t</w:t>
      </w:r>
      <w:r w:rsidR="005609C6" w:rsidRPr="003D35E9">
        <w:rPr>
          <w:rFonts w:cstheme="minorHAnsi"/>
          <w:color w:val="000000" w:themeColor="text1"/>
        </w:rPr>
        <w:t xml:space="preserve">here is a role for Government </w:t>
      </w:r>
      <w:r w:rsidRPr="003D35E9">
        <w:rPr>
          <w:rFonts w:cstheme="minorHAnsi"/>
          <w:color w:val="000000" w:themeColor="text1"/>
        </w:rPr>
        <w:t>to</w:t>
      </w:r>
      <w:r w:rsidR="005609C6" w:rsidRPr="003D35E9">
        <w:rPr>
          <w:rFonts w:cstheme="minorHAnsi"/>
          <w:color w:val="000000" w:themeColor="text1"/>
        </w:rPr>
        <w:t xml:space="preserve"> co-ordinat</w:t>
      </w:r>
      <w:r w:rsidRPr="003D35E9">
        <w:rPr>
          <w:rFonts w:cstheme="minorHAnsi"/>
          <w:color w:val="000000" w:themeColor="text1"/>
        </w:rPr>
        <w:t>e</w:t>
      </w:r>
      <w:r w:rsidR="005609C6" w:rsidRPr="003D35E9">
        <w:rPr>
          <w:rFonts w:cstheme="minorHAnsi"/>
          <w:color w:val="000000" w:themeColor="text1"/>
        </w:rPr>
        <w:t xml:space="preserve"> the improvement in quality across the industry</w:t>
      </w:r>
      <w:r w:rsidRPr="003D35E9">
        <w:rPr>
          <w:rFonts w:cstheme="minorHAnsi"/>
          <w:color w:val="000000" w:themeColor="text1"/>
        </w:rPr>
        <w:t xml:space="preserve">, it was also acknowledged that </w:t>
      </w:r>
      <w:r w:rsidR="003D35E9" w:rsidRPr="003D35E9">
        <w:rPr>
          <w:rFonts w:cstheme="minorHAnsi"/>
          <w:color w:val="000000" w:themeColor="text1"/>
        </w:rPr>
        <w:t xml:space="preserve">the supply chain, their trade bodies and accreditation bodies </w:t>
      </w:r>
      <w:r w:rsidRPr="003D35E9">
        <w:rPr>
          <w:rFonts w:cstheme="minorHAnsi"/>
          <w:color w:val="000000" w:themeColor="text1"/>
        </w:rPr>
        <w:t xml:space="preserve">had a </w:t>
      </w:r>
      <w:r w:rsidR="003D35E9" w:rsidRPr="003D35E9">
        <w:rPr>
          <w:rFonts w:cstheme="minorHAnsi"/>
          <w:color w:val="000000" w:themeColor="text1"/>
        </w:rPr>
        <w:t xml:space="preserve">key </w:t>
      </w:r>
      <w:r w:rsidRPr="003D35E9">
        <w:rPr>
          <w:rFonts w:cstheme="minorHAnsi"/>
          <w:color w:val="000000" w:themeColor="text1"/>
        </w:rPr>
        <w:t xml:space="preserve">role in </w:t>
      </w:r>
      <w:r w:rsidR="003D35E9" w:rsidRPr="003D35E9">
        <w:rPr>
          <w:rFonts w:cstheme="minorHAnsi"/>
          <w:color w:val="000000" w:themeColor="text1"/>
        </w:rPr>
        <w:t xml:space="preserve">driving up standards. There was a </w:t>
      </w:r>
      <w:r w:rsidR="003D35E9">
        <w:rPr>
          <w:rFonts w:cstheme="minorHAnsi"/>
          <w:color w:val="000000" w:themeColor="text1"/>
        </w:rPr>
        <w:t>c</w:t>
      </w:r>
      <w:r w:rsidR="005609C6" w:rsidRPr="003D35E9">
        <w:rPr>
          <w:rFonts w:cstheme="minorHAnsi"/>
          <w:color w:val="000000" w:themeColor="text1"/>
        </w:rPr>
        <w:t>onscious decision at the start of the ECO and the Green Deal for Government not to regulate the industry</w:t>
      </w:r>
      <w:r w:rsidR="00F76C00" w:rsidRPr="003D35E9">
        <w:rPr>
          <w:rFonts w:cstheme="minorHAnsi"/>
          <w:color w:val="000000" w:themeColor="text1"/>
        </w:rPr>
        <w:t>.</w:t>
      </w:r>
    </w:p>
    <w:p w:rsidR="000E7B0F" w:rsidRDefault="003D35E9" w:rsidP="00091DB6">
      <w:pPr>
        <w:pStyle w:val="ListParagraph"/>
        <w:numPr>
          <w:ilvl w:val="0"/>
          <w:numId w:val="8"/>
        </w:numPr>
        <w:rPr>
          <w:rFonts w:cstheme="minorHAnsi"/>
          <w:color w:val="000000" w:themeColor="text1"/>
        </w:rPr>
      </w:pPr>
      <w:r>
        <w:rPr>
          <w:rFonts w:cstheme="minorHAnsi"/>
          <w:color w:val="000000" w:themeColor="text1"/>
        </w:rPr>
        <w:t>One comment suggested that a</w:t>
      </w:r>
      <w:r w:rsidR="00F76C00">
        <w:rPr>
          <w:rFonts w:cstheme="minorHAnsi"/>
          <w:color w:val="000000" w:themeColor="text1"/>
        </w:rPr>
        <w:t xml:space="preserve"> standard checklist for installation</w:t>
      </w:r>
      <w:r>
        <w:rPr>
          <w:rFonts w:cstheme="minorHAnsi"/>
          <w:color w:val="000000" w:themeColor="text1"/>
        </w:rPr>
        <w:t xml:space="preserve"> quality,</w:t>
      </w:r>
      <w:r w:rsidR="00F76C00">
        <w:rPr>
          <w:rFonts w:cstheme="minorHAnsi"/>
          <w:color w:val="000000" w:themeColor="text1"/>
        </w:rPr>
        <w:t xml:space="preserve"> as was the case under Warm Front</w:t>
      </w:r>
      <w:r>
        <w:rPr>
          <w:rFonts w:cstheme="minorHAnsi"/>
          <w:color w:val="000000" w:themeColor="text1"/>
        </w:rPr>
        <w:t>,</w:t>
      </w:r>
      <w:r w:rsidR="00F76C00">
        <w:rPr>
          <w:rFonts w:cstheme="minorHAnsi"/>
          <w:color w:val="000000" w:themeColor="text1"/>
        </w:rPr>
        <w:t xml:space="preserve"> w</w:t>
      </w:r>
      <w:r>
        <w:rPr>
          <w:rFonts w:cstheme="minorHAnsi"/>
          <w:color w:val="000000" w:themeColor="text1"/>
        </w:rPr>
        <w:t>ould</w:t>
      </w:r>
      <w:r w:rsidR="00F76C00">
        <w:rPr>
          <w:rFonts w:cstheme="minorHAnsi"/>
          <w:color w:val="000000" w:themeColor="text1"/>
        </w:rPr>
        <w:t xml:space="preserve"> </w:t>
      </w:r>
      <w:r>
        <w:rPr>
          <w:rFonts w:cstheme="minorHAnsi"/>
          <w:color w:val="000000" w:themeColor="text1"/>
        </w:rPr>
        <w:t xml:space="preserve">assist </w:t>
      </w:r>
      <w:r w:rsidR="00F76C00">
        <w:rPr>
          <w:rFonts w:cstheme="minorHAnsi"/>
          <w:color w:val="000000" w:themeColor="text1"/>
        </w:rPr>
        <w:t>standardisation across the programme.</w:t>
      </w:r>
    </w:p>
    <w:p w:rsidR="0093556E" w:rsidRPr="00644395" w:rsidRDefault="00901BB3" w:rsidP="000E7B0F">
      <w:pPr>
        <w:rPr>
          <w:rFonts w:cstheme="minorHAnsi"/>
          <w:i/>
          <w:color w:val="000000" w:themeColor="text1"/>
          <w:lang w:val="en-US"/>
        </w:rPr>
      </w:pPr>
      <w:r w:rsidRPr="00644395">
        <w:rPr>
          <w:rFonts w:cstheme="minorHAnsi"/>
          <w:i/>
          <w:color w:val="000000" w:themeColor="text1"/>
          <w:lang w:val="en-US"/>
        </w:rPr>
        <w:t>Should we consider regulating to ensure smoother delivery profiles, or can this be achieved through other means? What suggestions (either way) does industry have to achieve a smooth delivery profile in a cost effective way?</w:t>
      </w:r>
    </w:p>
    <w:p w:rsidR="00EB0D7E" w:rsidRDefault="00EB0D7E" w:rsidP="000E7B0F">
      <w:pPr>
        <w:rPr>
          <w:rFonts w:cstheme="minorHAnsi"/>
          <w:color w:val="000000" w:themeColor="text1"/>
          <w:lang w:val="en-US"/>
        </w:rPr>
      </w:pPr>
      <w:r>
        <w:rPr>
          <w:rFonts w:cstheme="minorHAnsi"/>
          <w:color w:val="000000" w:themeColor="text1"/>
          <w:lang w:val="en-US"/>
        </w:rPr>
        <w:lastRenderedPageBreak/>
        <w:t>General feedback was that:</w:t>
      </w:r>
    </w:p>
    <w:p w:rsidR="00EB0D7E" w:rsidRDefault="004579A0" w:rsidP="00091DB6">
      <w:pPr>
        <w:pStyle w:val="ListParagraph"/>
        <w:numPr>
          <w:ilvl w:val="0"/>
          <w:numId w:val="9"/>
        </w:numPr>
        <w:rPr>
          <w:rFonts w:cstheme="minorHAnsi"/>
          <w:color w:val="000000" w:themeColor="text1"/>
        </w:rPr>
      </w:pPr>
      <w:r>
        <w:rPr>
          <w:rFonts w:cstheme="minorHAnsi"/>
          <w:color w:val="000000" w:themeColor="text1"/>
        </w:rPr>
        <w:t>I</w:t>
      </w:r>
      <w:r w:rsidR="0021581A">
        <w:rPr>
          <w:rFonts w:cstheme="minorHAnsi"/>
          <w:color w:val="000000" w:themeColor="text1"/>
        </w:rPr>
        <w:t xml:space="preserve">t </w:t>
      </w:r>
      <w:r w:rsidR="00EB0D7E">
        <w:rPr>
          <w:rFonts w:cstheme="minorHAnsi"/>
          <w:color w:val="000000" w:themeColor="text1"/>
        </w:rPr>
        <w:t>would be</w:t>
      </w:r>
      <w:r w:rsidR="0021581A">
        <w:rPr>
          <w:rFonts w:cstheme="minorHAnsi"/>
          <w:color w:val="000000" w:themeColor="text1"/>
        </w:rPr>
        <w:t xml:space="preserve"> difficult to manage delivery if </w:t>
      </w:r>
      <w:r w:rsidR="00EB0D7E">
        <w:rPr>
          <w:rFonts w:cstheme="minorHAnsi"/>
          <w:color w:val="000000" w:themeColor="text1"/>
        </w:rPr>
        <w:t xml:space="preserve">there were </w:t>
      </w:r>
      <w:r w:rsidR="0021581A">
        <w:rPr>
          <w:rFonts w:cstheme="minorHAnsi"/>
          <w:color w:val="000000" w:themeColor="text1"/>
        </w:rPr>
        <w:t xml:space="preserve">more </w:t>
      </w:r>
      <w:r w:rsidR="00EB0D7E">
        <w:rPr>
          <w:rFonts w:cstheme="minorHAnsi"/>
          <w:color w:val="000000" w:themeColor="text1"/>
        </w:rPr>
        <w:t xml:space="preserve">(interim) </w:t>
      </w:r>
      <w:r w:rsidR="0021581A">
        <w:rPr>
          <w:rFonts w:cstheme="minorHAnsi"/>
          <w:color w:val="000000" w:themeColor="text1"/>
        </w:rPr>
        <w:t>targets</w:t>
      </w:r>
      <w:r>
        <w:rPr>
          <w:rFonts w:cstheme="minorHAnsi"/>
          <w:color w:val="000000" w:themeColor="text1"/>
        </w:rPr>
        <w:t xml:space="preserve">; and </w:t>
      </w:r>
    </w:p>
    <w:p w:rsidR="000E7B0F" w:rsidRPr="006E62EA" w:rsidRDefault="004579A0" w:rsidP="00091DB6">
      <w:pPr>
        <w:pStyle w:val="ListParagraph"/>
        <w:numPr>
          <w:ilvl w:val="0"/>
          <w:numId w:val="9"/>
        </w:numPr>
        <w:rPr>
          <w:rFonts w:cstheme="minorHAnsi"/>
          <w:color w:val="000000" w:themeColor="text1"/>
        </w:rPr>
      </w:pPr>
      <w:r>
        <w:rPr>
          <w:rFonts w:cstheme="minorHAnsi"/>
          <w:color w:val="000000" w:themeColor="text1"/>
        </w:rPr>
        <w:t>T</w:t>
      </w:r>
      <w:r w:rsidR="0021581A">
        <w:rPr>
          <w:rFonts w:cstheme="minorHAnsi"/>
          <w:color w:val="000000" w:themeColor="text1"/>
        </w:rPr>
        <w:t>he</w:t>
      </w:r>
      <w:r w:rsidR="00EB0D7E">
        <w:rPr>
          <w:rFonts w:cstheme="minorHAnsi"/>
          <w:color w:val="000000" w:themeColor="text1"/>
        </w:rPr>
        <w:t xml:space="preserve">re is a </w:t>
      </w:r>
      <w:r w:rsidR="0021581A">
        <w:rPr>
          <w:rFonts w:cstheme="minorHAnsi"/>
          <w:color w:val="000000" w:themeColor="text1"/>
        </w:rPr>
        <w:t xml:space="preserve">need for greater certainty </w:t>
      </w:r>
      <w:r w:rsidR="00EB0D7E">
        <w:rPr>
          <w:rFonts w:cstheme="minorHAnsi"/>
          <w:color w:val="000000" w:themeColor="text1"/>
        </w:rPr>
        <w:t xml:space="preserve">earlier in the process </w:t>
      </w:r>
      <w:r w:rsidR="0021581A">
        <w:rPr>
          <w:rFonts w:cstheme="minorHAnsi"/>
          <w:color w:val="000000" w:themeColor="text1"/>
        </w:rPr>
        <w:t>when rules change across phases</w:t>
      </w:r>
      <w:r w:rsidR="00EB0D7E">
        <w:rPr>
          <w:rFonts w:cstheme="minorHAnsi"/>
          <w:color w:val="000000" w:themeColor="text1"/>
        </w:rPr>
        <w:t xml:space="preserve"> (on carryover rules)</w:t>
      </w:r>
      <w:r>
        <w:rPr>
          <w:rFonts w:cstheme="minorHAnsi"/>
          <w:color w:val="000000" w:themeColor="text1"/>
        </w:rPr>
        <w:t>.</w:t>
      </w:r>
    </w:p>
    <w:p w:rsidR="00A6333D" w:rsidRDefault="003D35E9" w:rsidP="000E7B0F">
      <w:pPr>
        <w:rPr>
          <w:rFonts w:cstheme="minorHAnsi"/>
          <w:color w:val="000000" w:themeColor="text1"/>
        </w:rPr>
      </w:pPr>
      <w:r>
        <w:rPr>
          <w:rFonts w:cstheme="minorHAnsi"/>
          <w:color w:val="000000" w:themeColor="text1"/>
        </w:rPr>
        <w:t>There was insufficient time to discuss the third question</w:t>
      </w:r>
      <w:r w:rsidR="00A6333D">
        <w:rPr>
          <w:rFonts w:cstheme="minorHAnsi"/>
          <w:color w:val="000000" w:themeColor="text1"/>
        </w:rPr>
        <w:t xml:space="preserve"> which was:</w:t>
      </w:r>
    </w:p>
    <w:p w:rsidR="0031746F" w:rsidRPr="00644395" w:rsidRDefault="00A6333D" w:rsidP="0084191F">
      <w:pPr>
        <w:rPr>
          <w:rFonts w:cstheme="minorHAnsi"/>
          <w:i/>
          <w:color w:val="000000" w:themeColor="text1"/>
        </w:rPr>
      </w:pPr>
      <w:r w:rsidRPr="00644395">
        <w:rPr>
          <w:rFonts w:cstheme="minorHAnsi"/>
          <w:i/>
          <w:color w:val="000000" w:themeColor="text1"/>
        </w:rPr>
        <w:t>Is there a need to make ECO more</w:t>
      </w:r>
      <w:r w:rsidR="00B127C3" w:rsidRPr="00644395">
        <w:rPr>
          <w:rFonts w:cstheme="minorHAnsi"/>
          <w:i/>
          <w:color w:val="000000" w:themeColor="text1"/>
        </w:rPr>
        <w:t xml:space="preserve"> customer-focused and if so, how could Government ensure and/or support this?</w:t>
      </w:r>
    </w:p>
    <w:p w:rsidR="006B11B4" w:rsidRPr="00401F48" w:rsidRDefault="003D0EE2" w:rsidP="00E95B69">
      <w:pPr>
        <w:pStyle w:val="ListParagraph"/>
        <w:numPr>
          <w:ilvl w:val="0"/>
          <w:numId w:val="1"/>
        </w:numPr>
        <w:spacing w:after="0" w:line="240" w:lineRule="auto"/>
        <w:ind w:left="360"/>
        <w:jc w:val="both"/>
        <w:rPr>
          <w:rFonts w:cstheme="minorHAnsi"/>
          <w:b/>
          <w:color w:val="000000" w:themeColor="text1"/>
          <w:sz w:val="28"/>
          <w:szCs w:val="28"/>
        </w:rPr>
      </w:pPr>
      <w:r w:rsidRPr="00401F48">
        <w:rPr>
          <w:rFonts w:cstheme="minorHAnsi"/>
          <w:b/>
          <w:color w:val="000000" w:themeColor="text1"/>
          <w:sz w:val="28"/>
          <w:szCs w:val="28"/>
        </w:rPr>
        <w:t>Any Other Business</w:t>
      </w:r>
    </w:p>
    <w:p w:rsidR="00F8081E" w:rsidRDefault="00F8081E" w:rsidP="008008EA">
      <w:pPr>
        <w:spacing w:after="0" w:line="240" w:lineRule="auto"/>
        <w:ind w:left="360"/>
        <w:jc w:val="both"/>
        <w:rPr>
          <w:rFonts w:cstheme="minorHAnsi"/>
          <w:color w:val="000000" w:themeColor="text1"/>
        </w:rPr>
      </w:pPr>
    </w:p>
    <w:p w:rsidR="00F43F21" w:rsidRDefault="00F43F21" w:rsidP="00F43F21">
      <w:pPr>
        <w:spacing w:after="0" w:line="240" w:lineRule="auto"/>
        <w:jc w:val="both"/>
        <w:rPr>
          <w:rFonts w:cstheme="minorHAnsi"/>
          <w:color w:val="000000" w:themeColor="text1"/>
        </w:rPr>
      </w:pPr>
      <w:r>
        <w:rPr>
          <w:rFonts w:cstheme="minorHAnsi"/>
          <w:color w:val="000000" w:themeColor="text1"/>
        </w:rPr>
        <w:t xml:space="preserve">Green Deal Home Improvement Fund: </w:t>
      </w:r>
    </w:p>
    <w:p w:rsidR="00F43F21" w:rsidRDefault="00F43F21" w:rsidP="00F43F21">
      <w:pPr>
        <w:spacing w:after="0" w:line="240" w:lineRule="auto"/>
        <w:jc w:val="both"/>
        <w:rPr>
          <w:rFonts w:cstheme="minorHAnsi"/>
          <w:color w:val="000000" w:themeColor="text1"/>
        </w:rPr>
      </w:pPr>
    </w:p>
    <w:p w:rsidR="00DA6EDD" w:rsidRDefault="00DA6EDD" w:rsidP="00091DB6">
      <w:pPr>
        <w:pStyle w:val="ListParagraph"/>
        <w:numPr>
          <w:ilvl w:val="0"/>
          <w:numId w:val="7"/>
        </w:numPr>
        <w:spacing w:after="0" w:line="240" w:lineRule="auto"/>
        <w:jc w:val="both"/>
        <w:rPr>
          <w:rFonts w:cstheme="minorHAnsi"/>
          <w:color w:val="000000" w:themeColor="text1"/>
        </w:rPr>
      </w:pPr>
      <w:r>
        <w:rPr>
          <w:rFonts w:cstheme="minorHAnsi"/>
          <w:color w:val="000000" w:themeColor="text1"/>
        </w:rPr>
        <w:t xml:space="preserve">DECC provided an update on the additional £100 million allocated for </w:t>
      </w:r>
      <w:r w:rsidR="00A64856">
        <w:rPr>
          <w:rFonts w:cstheme="minorHAnsi"/>
          <w:color w:val="000000" w:themeColor="text1"/>
        </w:rPr>
        <w:t xml:space="preserve">household energy efficiency including </w:t>
      </w:r>
      <w:r>
        <w:rPr>
          <w:rFonts w:cstheme="minorHAnsi"/>
          <w:color w:val="000000" w:themeColor="text1"/>
        </w:rPr>
        <w:t>a new phase of the Green Deal Home Improvement Fund.</w:t>
      </w:r>
      <w:r w:rsidR="00496EAD">
        <w:rPr>
          <w:rFonts w:cstheme="minorHAnsi"/>
          <w:color w:val="000000" w:themeColor="text1"/>
        </w:rPr>
        <w:t xml:space="preserve">  </w:t>
      </w:r>
      <w:r w:rsidR="00A64856">
        <w:rPr>
          <w:rFonts w:cstheme="minorHAnsi"/>
          <w:color w:val="000000" w:themeColor="text1"/>
        </w:rPr>
        <w:t>The further release of funds was due to be available for a</w:t>
      </w:r>
      <w:r w:rsidR="00496EAD">
        <w:rPr>
          <w:rFonts w:cstheme="minorHAnsi"/>
          <w:color w:val="000000" w:themeColor="text1"/>
        </w:rPr>
        <w:t>pplications by the end of November.</w:t>
      </w:r>
    </w:p>
    <w:p w:rsidR="00496EAD" w:rsidRDefault="00496EAD" w:rsidP="00091DB6">
      <w:pPr>
        <w:pStyle w:val="ListParagraph"/>
        <w:numPr>
          <w:ilvl w:val="0"/>
          <w:numId w:val="7"/>
        </w:numPr>
        <w:spacing w:after="0" w:line="240" w:lineRule="auto"/>
        <w:jc w:val="both"/>
        <w:rPr>
          <w:rFonts w:cstheme="minorHAnsi"/>
          <w:color w:val="000000" w:themeColor="text1"/>
        </w:rPr>
      </w:pPr>
      <w:r>
        <w:rPr>
          <w:rFonts w:cstheme="minorHAnsi"/>
          <w:color w:val="000000" w:themeColor="text1"/>
        </w:rPr>
        <w:t xml:space="preserve">Specifics of how the </w:t>
      </w:r>
      <w:r w:rsidR="00C955A4">
        <w:rPr>
          <w:rFonts w:cstheme="minorHAnsi"/>
          <w:color w:val="000000" w:themeColor="text1"/>
        </w:rPr>
        <w:t xml:space="preserve">fund </w:t>
      </w:r>
      <w:r w:rsidR="00A64856">
        <w:rPr>
          <w:rFonts w:cstheme="minorHAnsi"/>
          <w:color w:val="000000" w:themeColor="text1"/>
        </w:rPr>
        <w:t xml:space="preserve">would </w:t>
      </w:r>
      <w:r>
        <w:rPr>
          <w:rFonts w:cstheme="minorHAnsi"/>
          <w:color w:val="000000" w:themeColor="text1"/>
        </w:rPr>
        <w:t xml:space="preserve">operate </w:t>
      </w:r>
      <w:r w:rsidR="00A64856">
        <w:rPr>
          <w:rFonts w:cstheme="minorHAnsi"/>
          <w:color w:val="000000" w:themeColor="text1"/>
        </w:rPr>
        <w:t>were due to</w:t>
      </w:r>
      <w:r>
        <w:rPr>
          <w:rFonts w:cstheme="minorHAnsi"/>
          <w:color w:val="000000" w:themeColor="text1"/>
        </w:rPr>
        <w:t xml:space="preserve"> be announced in advance of applications opening. </w:t>
      </w:r>
    </w:p>
    <w:p w:rsidR="00C955A4" w:rsidRDefault="00C955A4" w:rsidP="00091DB6">
      <w:pPr>
        <w:pStyle w:val="ListParagraph"/>
        <w:numPr>
          <w:ilvl w:val="0"/>
          <w:numId w:val="7"/>
        </w:numPr>
        <w:spacing w:after="0" w:line="240" w:lineRule="auto"/>
        <w:jc w:val="both"/>
        <w:rPr>
          <w:rFonts w:cstheme="minorHAnsi"/>
          <w:color w:val="000000" w:themeColor="text1"/>
        </w:rPr>
      </w:pPr>
      <w:r>
        <w:rPr>
          <w:rFonts w:cstheme="minorHAnsi"/>
          <w:color w:val="000000" w:themeColor="text1"/>
        </w:rPr>
        <w:t xml:space="preserve">DECC </w:t>
      </w:r>
      <w:r w:rsidR="00A64856">
        <w:rPr>
          <w:rFonts w:cstheme="minorHAnsi"/>
          <w:color w:val="000000" w:themeColor="text1"/>
        </w:rPr>
        <w:t>would</w:t>
      </w:r>
      <w:r>
        <w:rPr>
          <w:rFonts w:cstheme="minorHAnsi"/>
          <w:color w:val="000000" w:themeColor="text1"/>
        </w:rPr>
        <w:t xml:space="preserve"> be contacting all customers who expressed an interest</w:t>
      </w:r>
      <w:r w:rsidR="00331421">
        <w:rPr>
          <w:rFonts w:cstheme="minorHAnsi"/>
          <w:color w:val="000000" w:themeColor="text1"/>
        </w:rPr>
        <w:t xml:space="preserve"> </w:t>
      </w:r>
      <w:r w:rsidR="0026482D">
        <w:rPr>
          <w:rFonts w:cstheme="minorHAnsi"/>
          <w:color w:val="000000" w:themeColor="text1"/>
        </w:rPr>
        <w:t>(</w:t>
      </w:r>
      <w:r w:rsidR="00331421">
        <w:rPr>
          <w:rFonts w:cstheme="minorHAnsi"/>
          <w:color w:val="000000" w:themeColor="text1"/>
        </w:rPr>
        <w:t>but didn’t receive funding</w:t>
      </w:r>
      <w:r w:rsidR="0026482D">
        <w:rPr>
          <w:rFonts w:cstheme="minorHAnsi"/>
          <w:color w:val="000000" w:themeColor="text1"/>
        </w:rPr>
        <w:t>)</w:t>
      </w:r>
      <w:r>
        <w:rPr>
          <w:rFonts w:cstheme="minorHAnsi"/>
          <w:color w:val="000000" w:themeColor="text1"/>
        </w:rPr>
        <w:t xml:space="preserve"> in the previous phase to ensure they </w:t>
      </w:r>
      <w:r w:rsidR="00A64856">
        <w:rPr>
          <w:rFonts w:cstheme="minorHAnsi"/>
          <w:color w:val="000000" w:themeColor="text1"/>
        </w:rPr>
        <w:t>were</w:t>
      </w:r>
      <w:r>
        <w:rPr>
          <w:rFonts w:cstheme="minorHAnsi"/>
          <w:color w:val="000000" w:themeColor="text1"/>
        </w:rPr>
        <w:t xml:space="preserve"> aware </w:t>
      </w:r>
      <w:r w:rsidR="002365CB">
        <w:rPr>
          <w:rFonts w:cstheme="minorHAnsi"/>
          <w:color w:val="000000" w:themeColor="text1"/>
        </w:rPr>
        <w:t>of the</w:t>
      </w:r>
      <w:r w:rsidR="00A64856">
        <w:rPr>
          <w:rFonts w:cstheme="minorHAnsi"/>
          <w:color w:val="000000" w:themeColor="text1"/>
        </w:rPr>
        <w:t xml:space="preserve"> new release</w:t>
      </w:r>
      <w:r>
        <w:rPr>
          <w:rFonts w:cstheme="minorHAnsi"/>
          <w:color w:val="000000" w:themeColor="text1"/>
        </w:rPr>
        <w:t xml:space="preserve">. </w:t>
      </w:r>
    </w:p>
    <w:p w:rsidR="0026482D" w:rsidRPr="0026482D" w:rsidRDefault="0026482D" w:rsidP="0026482D">
      <w:pPr>
        <w:spacing w:after="0" w:line="240" w:lineRule="auto"/>
        <w:jc w:val="both"/>
        <w:rPr>
          <w:rFonts w:cstheme="minorHAnsi"/>
          <w:color w:val="000000" w:themeColor="text1"/>
        </w:rPr>
      </w:pPr>
    </w:p>
    <w:p w:rsidR="00F43F21" w:rsidRDefault="00F43F21" w:rsidP="0088567D">
      <w:pPr>
        <w:spacing w:after="0" w:line="240" w:lineRule="auto"/>
        <w:jc w:val="both"/>
        <w:rPr>
          <w:rFonts w:cstheme="minorHAnsi"/>
          <w:color w:val="000000" w:themeColor="text1"/>
        </w:rPr>
      </w:pPr>
    </w:p>
    <w:p w:rsidR="00271669" w:rsidRDefault="002D0F5B" w:rsidP="00D84D22">
      <w:pPr>
        <w:tabs>
          <w:tab w:val="left" w:pos="426"/>
        </w:tabs>
        <w:spacing w:after="0" w:line="240" w:lineRule="auto"/>
        <w:jc w:val="both"/>
        <w:rPr>
          <w:rFonts w:cstheme="minorHAnsi"/>
          <w:b/>
          <w:color w:val="000000" w:themeColor="text1"/>
          <w:sz w:val="28"/>
          <w:szCs w:val="28"/>
        </w:rPr>
      </w:pPr>
      <w:r>
        <w:rPr>
          <w:rFonts w:cstheme="minorHAnsi"/>
          <w:b/>
          <w:color w:val="000000" w:themeColor="text1"/>
          <w:sz w:val="28"/>
          <w:szCs w:val="28"/>
        </w:rPr>
        <w:t>Actions</w:t>
      </w:r>
    </w:p>
    <w:p w:rsidR="002D0F5B" w:rsidRPr="00D84D22" w:rsidRDefault="002D0F5B" w:rsidP="00D84D22">
      <w:pPr>
        <w:tabs>
          <w:tab w:val="left" w:pos="426"/>
        </w:tabs>
        <w:spacing w:after="0" w:line="240" w:lineRule="auto"/>
        <w:jc w:val="both"/>
        <w:rPr>
          <w:rFonts w:cstheme="minorHAnsi"/>
          <w:color w:val="000000" w:themeColor="text1"/>
        </w:rPr>
      </w:pPr>
    </w:p>
    <w:tbl>
      <w:tblPr>
        <w:tblStyle w:val="TableGrid"/>
        <w:tblW w:w="10632" w:type="dxa"/>
        <w:jc w:val="center"/>
        <w:tblInd w:w="-601" w:type="dxa"/>
        <w:tblLayout w:type="fixed"/>
        <w:tblLook w:val="04A0" w:firstRow="1" w:lastRow="0" w:firstColumn="1" w:lastColumn="0" w:noHBand="0" w:noVBand="1"/>
      </w:tblPr>
      <w:tblGrid>
        <w:gridCol w:w="6254"/>
        <w:gridCol w:w="1459"/>
        <w:gridCol w:w="1459"/>
        <w:gridCol w:w="1460"/>
      </w:tblGrid>
      <w:tr w:rsidR="002D0F5B" w:rsidRPr="006611BF" w:rsidTr="00ED1059">
        <w:trPr>
          <w:jc w:val="center"/>
        </w:trPr>
        <w:tc>
          <w:tcPr>
            <w:tcW w:w="5552" w:type="dxa"/>
            <w:tcBorders>
              <w:bottom w:val="single" w:sz="4" w:space="0" w:color="000000" w:themeColor="text1"/>
            </w:tcBorders>
            <w:shd w:val="clear" w:color="auto" w:fill="00B0F0"/>
          </w:tcPr>
          <w:p w:rsidR="002D0F5B" w:rsidRPr="006611BF" w:rsidRDefault="002D0F5B" w:rsidP="00ED1059">
            <w:pPr>
              <w:jc w:val="both"/>
              <w:rPr>
                <w:rFonts w:cstheme="minorHAnsi"/>
                <w:b/>
                <w:color w:val="FFFFFF" w:themeColor="background1"/>
              </w:rPr>
            </w:pPr>
          </w:p>
          <w:p w:rsidR="002D0F5B" w:rsidRPr="006611BF" w:rsidRDefault="002D0F5B" w:rsidP="00ED1059">
            <w:pPr>
              <w:jc w:val="both"/>
              <w:rPr>
                <w:rFonts w:cstheme="minorHAnsi"/>
                <w:b/>
                <w:color w:val="FFFFFF" w:themeColor="background1"/>
              </w:rPr>
            </w:pPr>
            <w:r w:rsidRPr="006611BF">
              <w:rPr>
                <w:rFonts w:cstheme="minorHAnsi"/>
                <w:b/>
                <w:color w:val="FFFFFF" w:themeColor="background1"/>
              </w:rPr>
              <w:t>Actions</w:t>
            </w:r>
          </w:p>
        </w:tc>
        <w:tc>
          <w:tcPr>
            <w:tcW w:w="1295" w:type="dxa"/>
            <w:tcBorders>
              <w:bottom w:val="single" w:sz="4" w:space="0" w:color="000000" w:themeColor="text1"/>
            </w:tcBorders>
            <w:shd w:val="clear" w:color="auto" w:fill="00B0F0"/>
          </w:tcPr>
          <w:p w:rsidR="002D0F5B" w:rsidRPr="006611BF" w:rsidRDefault="002D0F5B" w:rsidP="00ED1059">
            <w:pPr>
              <w:jc w:val="both"/>
              <w:rPr>
                <w:rFonts w:cstheme="minorHAnsi"/>
                <w:b/>
                <w:color w:val="FFFFFF" w:themeColor="background1"/>
              </w:rPr>
            </w:pPr>
          </w:p>
          <w:p w:rsidR="002D0F5B" w:rsidRPr="006611BF" w:rsidRDefault="002D0F5B" w:rsidP="00ED1059">
            <w:pPr>
              <w:jc w:val="both"/>
              <w:rPr>
                <w:rFonts w:cstheme="minorHAnsi"/>
                <w:b/>
                <w:color w:val="FFFFFF" w:themeColor="background1"/>
              </w:rPr>
            </w:pPr>
            <w:r w:rsidRPr="006611BF">
              <w:rPr>
                <w:rFonts w:cstheme="minorHAnsi"/>
                <w:b/>
                <w:color w:val="FFFFFF" w:themeColor="background1"/>
              </w:rPr>
              <w:t>Owner</w:t>
            </w:r>
          </w:p>
        </w:tc>
        <w:tc>
          <w:tcPr>
            <w:tcW w:w="1295" w:type="dxa"/>
            <w:tcBorders>
              <w:bottom w:val="single" w:sz="4" w:space="0" w:color="000000" w:themeColor="text1"/>
            </w:tcBorders>
            <w:shd w:val="clear" w:color="auto" w:fill="00B0F0"/>
          </w:tcPr>
          <w:p w:rsidR="002D0F5B" w:rsidRPr="006611BF" w:rsidRDefault="002D0F5B" w:rsidP="00ED1059">
            <w:pPr>
              <w:jc w:val="both"/>
              <w:rPr>
                <w:rFonts w:cstheme="minorHAnsi"/>
                <w:b/>
                <w:color w:val="FFFFFF" w:themeColor="background1"/>
              </w:rPr>
            </w:pPr>
          </w:p>
          <w:p w:rsidR="002D0F5B" w:rsidRPr="006611BF" w:rsidRDefault="002D0F5B" w:rsidP="00ED1059">
            <w:pPr>
              <w:jc w:val="both"/>
              <w:rPr>
                <w:rFonts w:cstheme="minorHAnsi"/>
                <w:b/>
                <w:color w:val="FFFFFF" w:themeColor="background1"/>
              </w:rPr>
            </w:pPr>
            <w:r w:rsidRPr="006611BF">
              <w:rPr>
                <w:rFonts w:cstheme="minorHAnsi"/>
                <w:b/>
                <w:color w:val="FFFFFF" w:themeColor="background1"/>
              </w:rPr>
              <w:t>Deadline</w:t>
            </w:r>
          </w:p>
        </w:tc>
        <w:tc>
          <w:tcPr>
            <w:tcW w:w="1296" w:type="dxa"/>
            <w:tcBorders>
              <w:bottom w:val="single" w:sz="4" w:space="0" w:color="000000" w:themeColor="text1"/>
            </w:tcBorders>
            <w:shd w:val="clear" w:color="auto" w:fill="00B0F0"/>
          </w:tcPr>
          <w:p w:rsidR="002D0F5B" w:rsidRPr="006611BF" w:rsidRDefault="002D0F5B" w:rsidP="00ED1059">
            <w:pPr>
              <w:jc w:val="both"/>
              <w:rPr>
                <w:rFonts w:cstheme="minorHAnsi"/>
                <w:b/>
                <w:color w:val="FFFFFF" w:themeColor="background1"/>
              </w:rPr>
            </w:pPr>
          </w:p>
          <w:p w:rsidR="002D0F5B" w:rsidRPr="006611BF" w:rsidRDefault="002D0F5B" w:rsidP="00ED1059">
            <w:pPr>
              <w:jc w:val="both"/>
              <w:rPr>
                <w:rFonts w:cstheme="minorHAnsi"/>
                <w:b/>
                <w:color w:val="FFFFFF" w:themeColor="background1"/>
              </w:rPr>
            </w:pPr>
            <w:r w:rsidRPr="006611BF">
              <w:rPr>
                <w:rFonts w:cstheme="minorHAnsi"/>
                <w:b/>
                <w:color w:val="FFFFFF" w:themeColor="background1"/>
              </w:rPr>
              <w:t>Status</w:t>
            </w:r>
          </w:p>
        </w:tc>
      </w:tr>
      <w:tr w:rsidR="002D0F5B" w:rsidRPr="007B30BE" w:rsidTr="00ED1059">
        <w:trPr>
          <w:jc w:val="center"/>
        </w:trPr>
        <w:tc>
          <w:tcPr>
            <w:tcW w:w="5552" w:type="dxa"/>
            <w:tcBorders>
              <w:bottom w:val="single" w:sz="4" w:space="0" w:color="000000" w:themeColor="text1"/>
            </w:tcBorders>
            <w:shd w:val="clear" w:color="auto" w:fill="auto"/>
          </w:tcPr>
          <w:p w:rsidR="002D0F5B" w:rsidRPr="007B30BE" w:rsidRDefault="002D0F5B" w:rsidP="002D0F5B">
            <w:pPr>
              <w:spacing w:before="60"/>
              <w:rPr>
                <w:rFonts w:cstheme="minorHAnsi"/>
              </w:rPr>
            </w:pPr>
            <w:r>
              <w:rPr>
                <w:rFonts w:cstheme="minorHAnsi"/>
              </w:rPr>
              <w:t>Members of the Steering Group have until Wednesday (5 November) to provide feedback to Rita regarding the brokerage contract review document</w:t>
            </w:r>
          </w:p>
        </w:tc>
        <w:tc>
          <w:tcPr>
            <w:tcW w:w="1295" w:type="dxa"/>
            <w:tcBorders>
              <w:bottom w:val="single" w:sz="4" w:space="0" w:color="000000" w:themeColor="text1"/>
            </w:tcBorders>
            <w:shd w:val="clear" w:color="auto" w:fill="auto"/>
          </w:tcPr>
          <w:p w:rsidR="002D0F5B" w:rsidRPr="007B30BE" w:rsidRDefault="002D0F5B" w:rsidP="002D0F5B">
            <w:pPr>
              <w:spacing w:before="60"/>
              <w:jc w:val="center"/>
              <w:rPr>
                <w:rFonts w:cstheme="minorHAnsi"/>
              </w:rPr>
            </w:pPr>
            <w:r>
              <w:rPr>
                <w:rFonts w:cstheme="minorHAnsi"/>
              </w:rPr>
              <w:t>ALL MEMBERS</w:t>
            </w:r>
          </w:p>
        </w:tc>
        <w:tc>
          <w:tcPr>
            <w:tcW w:w="1295" w:type="dxa"/>
            <w:tcBorders>
              <w:bottom w:val="single" w:sz="4" w:space="0" w:color="000000" w:themeColor="text1"/>
            </w:tcBorders>
            <w:shd w:val="clear" w:color="auto" w:fill="auto"/>
          </w:tcPr>
          <w:p w:rsidR="007042DE" w:rsidRDefault="007042DE" w:rsidP="007042DE">
            <w:pPr>
              <w:spacing w:before="60"/>
              <w:jc w:val="center"/>
              <w:rPr>
                <w:rFonts w:cstheme="minorHAnsi"/>
              </w:rPr>
            </w:pPr>
          </w:p>
          <w:p w:rsidR="002D0F5B" w:rsidRPr="007B30BE" w:rsidRDefault="002D0F5B" w:rsidP="007042DE">
            <w:pPr>
              <w:spacing w:before="60"/>
              <w:jc w:val="center"/>
              <w:rPr>
                <w:rFonts w:cstheme="minorHAnsi"/>
              </w:rPr>
            </w:pPr>
            <w:r>
              <w:rPr>
                <w:rFonts w:cstheme="minorHAnsi"/>
              </w:rPr>
              <w:t>05.11.14</w:t>
            </w:r>
          </w:p>
        </w:tc>
        <w:tc>
          <w:tcPr>
            <w:tcW w:w="1296" w:type="dxa"/>
            <w:tcBorders>
              <w:bottom w:val="single" w:sz="4" w:space="0" w:color="000000" w:themeColor="text1"/>
            </w:tcBorders>
            <w:shd w:val="clear" w:color="auto" w:fill="auto"/>
          </w:tcPr>
          <w:p w:rsidR="007042DE" w:rsidRDefault="007042DE" w:rsidP="007042DE">
            <w:pPr>
              <w:spacing w:before="60"/>
              <w:jc w:val="center"/>
              <w:rPr>
                <w:rFonts w:cstheme="minorHAnsi"/>
              </w:rPr>
            </w:pPr>
          </w:p>
          <w:p w:rsidR="002D0F5B" w:rsidRPr="007B30BE" w:rsidRDefault="002D0F5B" w:rsidP="007042DE">
            <w:pPr>
              <w:spacing w:before="60"/>
              <w:jc w:val="center"/>
              <w:rPr>
                <w:rFonts w:cstheme="minorHAnsi"/>
              </w:rPr>
            </w:pPr>
            <w:r>
              <w:rPr>
                <w:rFonts w:cstheme="minorHAnsi"/>
              </w:rPr>
              <w:t>CLOSED</w:t>
            </w:r>
          </w:p>
        </w:tc>
      </w:tr>
    </w:tbl>
    <w:p w:rsidR="00D27368" w:rsidRPr="00CD789B" w:rsidRDefault="00D27368" w:rsidP="0079772B">
      <w:pPr>
        <w:spacing w:after="0" w:line="240" w:lineRule="auto"/>
        <w:jc w:val="both"/>
        <w:rPr>
          <w:rFonts w:cstheme="minorHAnsi"/>
        </w:rPr>
      </w:pPr>
    </w:p>
    <w:sectPr w:rsidR="00D27368" w:rsidRPr="00CD789B" w:rsidSect="0088567D">
      <w:headerReference w:type="default" r:id="rId10"/>
      <w:footerReference w:type="default" r:id="rId11"/>
      <w:pgSz w:w="11906" w:h="16838"/>
      <w:pgMar w:top="720" w:right="720" w:bottom="720" w:left="720" w:header="708" w:footer="1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CB4" w:rsidRDefault="00074CB4" w:rsidP="00662D07">
      <w:pPr>
        <w:spacing w:after="0" w:line="240" w:lineRule="auto"/>
      </w:pPr>
      <w:r>
        <w:separator/>
      </w:r>
    </w:p>
  </w:endnote>
  <w:endnote w:type="continuationSeparator" w:id="0">
    <w:p w:rsidR="00074CB4" w:rsidRDefault="00074CB4" w:rsidP="00662D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5E9" w:rsidRPr="009C477E" w:rsidRDefault="00BF1C3F" w:rsidP="0079772B">
    <w:pPr>
      <w:pStyle w:val="Footer"/>
      <w:tabs>
        <w:tab w:val="clear" w:pos="4513"/>
        <w:tab w:val="center" w:pos="7230"/>
        <w:tab w:val="left" w:pos="9403"/>
        <w:tab w:val="right" w:pos="10466"/>
      </w:tabs>
      <w:rPr>
        <w:rFonts w:cstheme="minorHAnsi"/>
        <w:color w:val="808080" w:themeColor="background1" w:themeShade="80"/>
      </w:rPr>
    </w:pPr>
    <w:sdt>
      <w:sdtPr>
        <w:id w:val="2030138570"/>
        <w:docPartObj>
          <w:docPartGallery w:val="Page Numbers (Bottom of Page)"/>
          <w:docPartUnique/>
        </w:docPartObj>
      </w:sdtPr>
      <w:sdtEndPr>
        <w:rPr>
          <w:rFonts w:cstheme="minorHAnsi"/>
          <w:color w:val="808080" w:themeColor="background1" w:themeShade="80"/>
        </w:rPr>
      </w:sdtEndPr>
      <w:sdtContent>
        <w:sdt>
          <w:sdtPr>
            <w:id w:val="860082579"/>
            <w:docPartObj>
              <w:docPartGallery w:val="Page Numbers (Top of Page)"/>
              <w:docPartUnique/>
            </w:docPartObj>
          </w:sdtPr>
          <w:sdtEndPr>
            <w:rPr>
              <w:rFonts w:cstheme="minorHAnsi"/>
              <w:color w:val="808080" w:themeColor="background1" w:themeShade="80"/>
            </w:rPr>
          </w:sdtEndPr>
          <w:sdtContent>
            <w:r w:rsidR="003D35E9">
              <w:tab/>
            </w:r>
            <w:r w:rsidR="003D35E9">
              <w:tab/>
            </w:r>
            <w:r w:rsidR="003D35E9">
              <w:tab/>
            </w:r>
            <w:r w:rsidR="003D35E9">
              <w:tab/>
            </w:r>
            <w:r w:rsidR="003D35E9" w:rsidRPr="009C477E">
              <w:rPr>
                <w:rFonts w:cstheme="minorHAnsi"/>
                <w:color w:val="808080" w:themeColor="background1" w:themeShade="80"/>
              </w:rPr>
              <w:t xml:space="preserve">Page </w:t>
            </w:r>
            <w:r w:rsidR="003D35E9" w:rsidRPr="009C477E">
              <w:rPr>
                <w:rFonts w:cstheme="minorHAnsi"/>
                <w:b/>
                <w:bCs/>
                <w:color w:val="808080" w:themeColor="background1" w:themeShade="80"/>
              </w:rPr>
              <w:fldChar w:fldCharType="begin"/>
            </w:r>
            <w:r w:rsidR="003D35E9" w:rsidRPr="009C477E">
              <w:rPr>
                <w:rFonts w:cstheme="minorHAnsi"/>
                <w:b/>
                <w:bCs/>
                <w:color w:val="808080" w:themeColor="background1" w:themeShade="80"/>
              </w:rPr>
              <w:instrText xml:space="preserve"> PAGE </w:instrText>
            </w:r>
            <w:r w:rsidR="003D35E9" w:rsidRPr="009C477E">
              <w:rPr>
                <w:rFonts w:cstheme="minorHAnsi"/>
                <w:b/>
                <w:bCs/>
                <w:color w:val="808080" w:themeColor="background1" w:themeShade="80"/>
              </w:rPr>
              <w:fldChar w:fldCharType="separate"/>
            </w:r>
            <w:r>
              <w:rPr>
                <w:rFonts w:cstheme="minorHAnsi"/>
                <w:b/>
                <w:bCs/>
                <w:noProof/>
                <w:color w:val="808080" w:themeColor="background1" w:themeShade="80"/>
              </w:rPr>
              <w:t>1</w:t>
            </w:r>
            <w:r w:rsidR="003D35E9" w:rsidRPr="009C477E">
              <w:rPr>
                <w:rFonts w:cstheme="minorHAnsi"/>
                <w:b/>
                <w:bCs/>
                <w:color w:val="808080" w:themeColor="background1" w:themeShade="80"/>
              </w:rPr>
              <w:fldChar w:fldCharType="end"/>
            </w:r>
            <w:r w:rsidR="003D35E9" w:rsidRPr="009C477E">
              <w:rPr>
                <w:rFonts w:cstheme="minorHAnsi"/>
                <w:color w:val="808080" w:themeColor="background1" w:themeShade="80"/>
              </w:rPr>
              <w:t xml:space="preserve"> of </w:t>
            </w:r>
            <w:r w:rsidR="003D35E9" w:rsidRPr="009C477E">
              <w:rPr>
                <w:rFonts w:cstheme="minorHAnsi"/>
                <w:b/>
                <w:bCs/>
                <w:color w:val="808080" w:themeColor="background1" w:themeShade="80"/>
              </w:rPr>
              <w:fldChar w:fldCharType="begin"/>
            </w:r>
            <w:r w:rsidR="003D35E9" w:rsidRPr="009C477E">
              <w:rPr>
                <w:rFonts w:cstheme="minorHAnsi"/>
                <w:b/>
                <w:bCs/>
                <w:color w:val="808080" w:themeColor="background1" w:themeShade="80"/>
              </w:rPr>
              <w:instrText xml:space="preserve"> NUMPAGES  </w:instrText>
            </w:r>
            <w:r w:rsidR="003D35E9" w:rsidRPr="009C477E">
              <w:rPr>
                <w:rFonts w:cstheme="minorHAnsi"/>
                <w:b/>
                <w:bCs/>
                <w:color w:val="808080" w:themeColor="background1" w:themeShade="80"/>
              </w:rPr>
              <w:fldChar w:fldCharType="separate"/>
            </w:r>
            <w:r>
              <w:rPr>
                <w:rFonts w:cstheme="minorHAnsi"/>
                <w:b/>
                <w:bCs/>
                <w:noProof/>
                <w:color w:val="808080" w:themeColor="background1" w:themeShade="80"/>
              </w:rPr>
              <w:t>4</w:t>
            </w:r>
            <w:r w:rsidR="003D35E9" w:rsidRPr="009C477E">
              <w:rPr>
                <w:rFonts w:cstheme="minorHAnsi"/>
                <w:b/>
                <w:bCs/>
                <w:color w:val="808080" w:themeColor="background1" w:themeShade="80"/>
              </w:rPr>
              <w:fldChar w:fldCharType="end"/>
            </w:r>
          </w:sdtContent>
        </w:sdt>
      </w:sdtContent>
    </w:sdt>
  </w:p>
  <w:p w:rsidR="003D35E9" w:rsidRPr="009C477E" w:rsidRDefault="003D35E9">
    <w:pPr>
      <w:pStyle w:val="Footer"/>
      <w:rPr>
        <w:rFonts w:cstheme="minorHAnsi"/>
        <w:color w:val="808080" w:themeColor="background1" w:themeShade="80"/>
      </w:rPr>
    </w:pPr>
  </w:p>
  <w:p w:rsidR="003D35E9" w:rsidRDefault="003D35E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CB4" w:rsidRDefault="00074CB4" w:rsidP="00662D07">
      <w:pPr>
        <w:spacing w:after="0" w:line="240" w:lineRule="auto"/>
      </w:pPr>
      <w:r>
        <w:separator/>
      </w:r>
    </w:p>
  </w:footnote>
  <w:footnote w:type="continuationSeparator" w:id="0">
    <w:p w:rsidR="00074CB4" w:rsidRDefault="00074CB4" w:rsidP="00662D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5E9" w:rsidRPr="00022AFB" w:rsidRDefault="003D35E9" w:rsidP="001C3288">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8658E"/>
    <w:multiLevelType w:val="hybridMultilevel"/>
    <w:tmpl w:val="6DD0680C"/>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1">
    <w:nsid w:val="0CCB6AB5"/>
    <w:multiLevelType w:val="hybridMultilevel"/>
    <w:tmpl w:val="AFCA6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1743C91"/>
    <w:multiLevelType w:val="hybridMultilevel"/>
    <w:tmpl w:val="9D4C0CE4"/>
    <w:lvl w:ilvl="0" w:tplc="3FF88DA0">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nsid w:val="25711AB3"/>
    <w:multiLevelType w:val="hybridMultilevel"/>
    <w:tmpl w:val="6EC63C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75669CE"/>
    <w:multiLevelType w:val="hybridMultilevel"/>
    <w:tmpl w:val="78EC98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C3F6AF1"/>
    <w:multiLevelType w:val="hybridMultilevel"/>
    <w:tmpl w:val="E968D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F852400"/>
    <w:multiLevelType w:val="hybridMultilevel"/>
    <w:tmpl w:val="E7E4BF22"/>
    <w:lvl w:ilvl="0" w:tplc="4B904CD6">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1F17C2C"/>
    <w:multiLevelType w:val="hybridMultilevel"/>
    <w:tmpl w:val="67C42A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5923F76"/>
    <w:multiLevelType w:val="hybridMultilevel"/>
    <w:tmpl w:val="A4526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C662EC8"/>
    <w:multiLevelType w:val="hybridMultilevel"/>
    <w:tmpl w:val="F2FC3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D550A50"/>
    <w:multiLevelType w:val="hybridMultilevel"/>
    <w:tmpl w:val="B7442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9"/>
  </w:num>
  <w:num w:numId="4">
    <w:abstractNumId w:val="0"/>
  </w:num>
  <w:num w:numId="5">
    <w:abstractNumId w:val="8"/>
  </w:num>
  <w:num w:numId="6">
    <w:abstractNumId w:val="4"/>
  </w:num>
  <w:num w:numId="7">
    <w:abstractNumId w:val="3"/>
  </w:num>
  <w:num w:numId="8">
    <w:abstractNumId w:val="5"/>
  </w:num>
  <w:num w:numId="9">
    <w:abstractNumId w:val="10"/>
  </w:num>
  <w:num w:numId="10">
    <w:abstractNumId w:val="1"/>
  </w:num>
  <w:num w:numId="11">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D07"/>
    <w:rsid w:val="00000A0C"/>
    <w:rsid w:val="00000C5A"/>
    <w:rsid w:val="00002F15"/>
    <w:rsid w:val="0000599C"/>
    <w:rsid w:val="0001431D"/>
    <w:rsid w:val="0001535D"/>
    <w:rsid w:val="00015860"/>
    <w:rsid w:val="00017ECA"/>
    <w:rsid w:val="00022AFB"/>
    <w:rsid w:val="00023984"/>
    <w:rsid w:val="00024D49"/>
    <w:rsid w:val="00025503"/>
    <w:rsid w:val="00025DA9"/>
    <w:rsid w:val="000261AC"/>
    <w:rsid w:val="00032393"/>
    <w:rsid w:val="000332EC"/>
    <w:rsid w:val="0003449D"/>
    <w:rsid w:val="00034558"/>
    <w:rsid w:val="00034D1C"/>
    <w:rsid w:val="00034D7E"/>
    <w:rsid w:val="000401EA"/>
    <w:rsid w:val="000424A0"/>
    <w:rsid w:val="0004284D"/>
    <w:rsid w:val="0004547A"/>
    <w:rsid w:val="000470CC"/>
    <w:rsid w:val="0004727A"/>
    <w:rsid w:val="000526F0"/>
    <w:rsid w:val="00060153"/>
    <w:rsid w:val="00060219"/>
    <w:rsid w:val="000624D8"/>
    <w:rsid w:val="00062EB7"/>
    <w:rsid w:val="00064B10"/>
    <w:rsid w:val="000660F3"/>
    <w:rsid w:val="0007068C"/>
    <w:rsid w:val="00074991"/>
    <w:rsid w:val="00074CB4"/>
    <w:rsid w:val="00074D05"/>
    <w:rsid w:val="00076632"/>
    <w:rsid w:val="00076C62"/>
    <w:rsid w:val="00076E33"/>
    <w:rsid w:val="00077AD3"/>
    <w:rsid w:val="00080F4D"/>
    <w:rsid w:val="0008113C"/>
    <w:rsid w:val="000843F2"/>
    <w:rsid w:val="0008678B"/>
    <w:rsid w:val="00087FE3"/>
    <w:rsid w:val="00091DB6"/>
    <w:rsid w:val="00092841"/>
    <w:rsid w:val="00093DED"/>
    <w:rsid w:val="00095E27"/>
    <w:rsid w:val="00096ACD"/>
    <w:rsid w:val="00096B53"/>
    <w:rsid w:val="000A0775"/>
    <w:rsid w:val="000A2194"/>
    <w:rsid w:val="000A46B3"/>
    <w:rsid w:val="000A4AE9"/>
    <w:rsid w:val="000A57F2"/>
    <w:rsid w:val="000A71ED"/>
    <w:rsid w:val="000B29FC"/>
    <w:rsid w:val="000B2C04"/>
    <w:rsid w:val="000B3139"/>
    <w:rsid w:val="000B3730"/>
    <w:rsid w:val="000B4118"/>
    <w:rsid w:val="000B6B39"/>
    <w:rsid w:val="000C062A"/>
    <w:rsid w:val="000C0734"/>
    <w:rsid w:val="000C63F9"/>
    <w:rsid w:val="000C6AE5"/>
    <w:rsid w:val="000C7A16"/>
    <w:rsid w:val="000D0E83"/>
    <w:rsid w:val="000D343B"/>
    <w:rsid w:val="000E0800"/>
    <w:rsid w:val="000E53A0"/>
    <w:rsid w:val="000E5682"/>
    <w:rsid w:val="000E6273"/>
    <w:rsid w:val="000E6A58"/>
    <w:rsid w:val="000E7698"/>
    <w:rsid w:val="000E7B0F"/>
    <w:rsid w:val="000F0C08"/>
    <w:rsid w:val="000F1E15"/>
    <w:rsid w:val="000F3624"/>
    <w:rsid w:val="000F530E"/>
    <w:rsid w:val="000F6E92"/>
    <w:rsid w:val="000F70D3"/>
    <w:rsid w:val="0010169B"/>
    <w:rsid w:val="00101BF9"/>
    <w:rsid w:val="00105297"/>
    <w:rsid w:val="00105897"/>
    <w:rsid w:val="00105DD2"/>
    <w:rsid w:val="0010741F"/>
    <w:rsid w:val="00113A46"/>
    <w:rsid w:val="00113D2D"/>
    <w:rsid w:val="001146F7"/>
    <w:rsid w:val="001224C0"/>
    <w:rsid w:val="00123655"/>
    <w:rsid w:val="00127C57"/>
    <w:rsid w:val="001318B9"/>
    <w:rsid w:val="00137701"/>
    <w:rsid w:val="00140144"/>
    <w:rsid w:val="00140485"/>
    <w:rsid w:val="00141A08"/>
    <w:rsid w:val="001428BD"/>
    <w:rsid w:val="0014630D"/>
    <w:rsid w:val="0015297B"/>
    <w:rsid w:val="001605F4"/>
    <w:rsid w:val="00162D93"/>
    <w:rsid w:val="00163737"/>
    <w:rsid w:val="00163AF2"/>
    <w:rsid w:val="00164E18"/>
    <w:rsid w:val="00172793"/>
    <w:rsid w:val="0018022D"/>
    <w:rsid w:val="00182B06"/>
    <w:rsid w:val="00185083"/>
    <w:rsid w:val="0018687F"/>
    <w:rsid w:val="00187D89"/>
    <w:rsid w:val="00195D4B"/>
    <w:rsid w:val="0019631F"/>
    <w:rsid w:val="001A0413"/>
    <w:rsid w:val="001A16BE"/>
    <w:rsid w:val="001A18D7"/>
    <w:rsid w:val="001A2B64"/>
    <w:rsid w:val="001A413F"/>
    <w:rsid w:val="001A4302"/>
    <w:rsid w:val="001A7A8E"/>
    <w:rsid w:val="001B349D"/>
    <w:rsid w:val="001B35C2"/>
    <w:rsid w:val="001B77DF"/>
    <w:rsid w:val="001C23EF"/>
    <w:rsid w:val="001C3288"/>
    <w:rsid w:val="001C3509"/>
    <w:rsid w:val="001C46C6"/>
    <w:rsid w:val="001D0733"/>
    <w:rsid w:val="001D0DB9"/>
    <w:rsid w:val="001D76B5"/>
    <w:rsid w:val="001E43B6"/>
    <w:rsid w:val="001E4CB7"/>
    <w:rsid w:val="001E568A"/>
    <w:rsid w:val="001E7001"/>
    <w:rsid w:val="001F09B6"/>
    <w:rsid w:val="001F1E5F"/>
    <w:rsid w:val="001F3814"/>
    <w:rsid w:val="001F4159"/>
    <w:rsid w:val="001F455E"/>
    <w:rsid w:val="001F7FD6"/>
    <w:rsid w:val="00203F41"/>
    <w:rsid w:val="00204C4B"/>
    <w:rsid w:val="00210740"/>
    <w:rsid w:val="0021581A"/>
    <w:rsid w:val="0021700D"/>
    <w:rsid w:val="00220C6F"/>
    <w:rsid w:val="00220E59"/>
    <w:rsid w:val="0022534B"/>
    <w:rsid w:val="00227FDE"/>
    <w:rsid w:val="00232613"/>
    <w:rsid w:val="00233311"/>
    <w:rsid w:val="0023364D"/>
    <w:rsid w:val="00233E9F"/>
    <w:rsid w:val="002365CB"/>
    <w:rsid w:val="002401D8"/>
    <w:rsid w:val="002447D1"/>
    <w:rsid w:val="00247498"/>
    <w:rsid w:val="00251290"/>
    <w:rsid w:val="00253641"/>
    <w:rsid w:val="0025443D"/>
    <w:rsid w:val="0025561F"/>
    <w:rsid w:val="00256B01"/>
    <w:rsid w:val="0025770E"/>
    <w:rsid w:val="0025791A"/>
    <w:rsid w:val="0026482D"/>
    <w:rsid w:val="00265598"/>
    <w:rsid w:val="002672F5"/>
    <w:rsid w:val="00270152"/>
    <w:rsid w:val="00271669"/>
    <w:rsid w:val="00273D91"/>
    <w:rsid w:val="00274E76"/>
    <w:rsid w:val="00276E31"/>
    <w:rsid w:val="00281E1F"/>
    <w:rsid w:val="00281F22"/>
    <w:rsid w:val="002825A5"/>
    <w:rsid w:val="0028290E"/>
    <w:rsid w:val="00283C87"/>
    <w:rsid w:val="0028461E"/>
    <w:rsid w:val="0028613F"/>
    <w:rsid w:val="0028671A"/>
    <w:rsid w:val="00286B81"/>
    <w:rsid w:val="00291052"/>
    <w:rsid w:val="002A1676"/>
    <w:rsid w:val="002A38A6"/>
    <w:rsid w:val="002A3D5C"/>
    <w:rsid w:val="002A5702"/>
    <w:rsid w:val="002A6DEE"/>
    <w:rsid w:val="002B2CD5"/>
    <w:rsid w:val="002C16A1"/>
    <w:rsid w:val="002C272D"/>
    <w:rsid w:val="002C56AC"/>
    <w:rsid w:val="002C728B"/>
    <w:rsid w:val="002D0AE4"/>
    <w:rsid w:val="002D0F5B"/>
    <w:rsid w:val="002D1342"/>
    <w:rsid w:val="002D4C5B"/>
    <w:rsid w:val="002D4EDC"/>
    <w:rsid w:val="002D67CC"/>
    <w:rsid w:val="002D6D4A"/>
    <w:rsid w:val="002E0596"/>
    <w:rsid w:val="002E0A9A"/>
    <w:rsid w:val="002E2278"/>
    <w:rsid w:val="002E592D"/>
    <w:rsid w:val="002E7F82"/>
    <w:rsid w:val="002F1CCE"/>
    <w:rsid w:val="002F283A"/>
    <w:rsid w:val="002F2878"/>
    <w:rsid w:val="002F3109"/>
    <w:rsid w:val="002F47BA"/>
    <w:rsid w:val="00300D37"/>
    <w:rsid w:val="00302C1B"/>
    <w:rsid w:val="00303115"/>
    <w:rsid w:val="00307763"/>
    <w:rsid w:val="00307E7A"/>
    <w:rsid w:val="00310716"/>
    <w:rsid w:val="00311AF1"/>
    <w:rsid w:val="003127E2"/>
    <w:rsid w:val="00314517"/>
    <w:rsid w:val="003149EA"/>
    <w:rsid w:val="0031746F"/>
    <w:rsid w:val="003230E1"/>
    <w:rsid w:val="003233E5"/>
    <w:rsid w:val="00323E4E"/>
    <w:rsid w:val="00331421"/>
    <w:rsid w:val="0033207C"/>
    <w:rsid w:val="00341E1C"/>
    <w:rsid w:val="00343F9A"/>
    <w:rsid w:val="0034603A"/>
    <w:rsid w:val="00347280"/>
    <w:rsid w:val="0034738D"/>
    <w:rsid w:val="003500EB"/>
    <w:rsid w:val="00351B2A"/>
    <w:rsid w:val="003549E7"/>
    <w:rsid w:val="0035725D"/>
    <w:rsid w:val="00362640"/>
    <w:rsid w:val="003654D5"/>
    <w:rsid w:val="00365501"/>
    <w:rsid w:val="00372896"/>
    <w:rsid w:val="00372FE9"/>
    <w:rsid w:val="0037405E"/>
    <w:rsid w:val="00376833"/>
    <w:rsid w:val="00377D35"/>
    <w:rsid w:val="00381D2B"/>
    <w:rsid w:val="0038325B"/>
    <w:rsid w:val="00384568"/>
    <w:rsid w:val="0038605A"/>
    <w:rsid w:val="003861F4"/>
    <w:rsid w:val="00386D99"/>
    <w:rsid w:val="00390753"/>
    <w:rsid w:val="003938D8"/>
    <w:rsid w:val="0039486F"/>
    <w:rsid w:val="00396743"/>
    <w:rsid w:val="003A021A"/>
    <w:rsid w:val="003A61C1"/>
    <w:rsid w:val="003A677E"/>
    <w:rsid w:val="003A6CD5"/>
    <w:rsid w:val="003B057F"/>
    <w:rsid w:val="003B1195"/>
    <w:rsid w:val="003B2B17"/>
    <w:rsid w:val="003B365D"/>
    <w:rsid w:val="003C2475"/>
    <w:rsid w:val="003C2FD2"/>
    <w:rsid w:val="003C3A07"/>
    <w:rsid w:val="003C47BE"/>
    <w:rsid w:val="003C5DE5"/>
    <w:rsid w:val="003C6C32"/>
    <w:rsid w:val="003C7416"/>
    <w:rsid w:val="003D0EE2"/>
    <w:rsid w:val="003D2A86"/>
    <w:rsid w:val="003D35E9"/>
    <w:rsid w:val="003D464D"/>
    <w:rsid w:val="003D517E"/>
    <w:rsid w:val="003E3D2F"/>
    <w:rsid w:val="003E4849"/>
    <w:rsid w:val="003E6F94"/>
    <w:rsid w:val="003F3538"/>
    <w:rsid w:val="00401F48"/>
    <w:rsid w:val="0040401B"/>
    <w:rsid w:val="00406E24"/>
    <w:rsid w:val="004106B6"/>
    <w:rsid w:val="004123B3"/>
    <w:rsid w:val="00413A76"/>
    <w:rsid w:val="00416A70"/>
    <w:rsid w:val="00420F1D"/>
    <w:rsid w:val="00421449"/>
    <w:rsid w:val="00423347"/>
    <w:rsid w:val="00430D33"/>
    <w:rsid w:val="00433B08"/>
    <w:rsid w:val="00435977"/>
    <w:rsid w:val="00435A99"/>
    <w:rsid w:val="00440D27"/>
    <w:rsid w:val="00442B76"/>
    <w:rsid w:val="00442BE3"/>
    <w:rsid w:val="00443E37"/>
    <w:rsid w:val="00445AAD"/>
    <w:rsid w:val="0044795F"/>
    <w:rsid w:val="0045145F"/>
    <w:rsid w:val="004541EB"/>
    <w:rsid w:val="00454BF0"/>
    <w:rsid w:val="004579A0"/>
    <w:rsid w:val="0046314B"/>
    <w:rsid w:val="00471097"/>
    <w:rsid w:val="004728DD"/>
    <w:rsid w:val="00472DD4"/>
    <w:rsid w:val="0048292D"/>
    <w:rsid w:val="00482EFB"/>
    <w:rsid w:val="00490A0C"/>
    <w:rsid w:val="0049219D"/>
    <w:rsid w:val="00493EB8"/>
    <w:rsid w:val="00496EAD"/>
    <w:rsid w:val="004A2A2E"/>
    <w:rsid w:val="004A76E5"/>
    <w:rsid w:val="004B4EB0"/>
    <w:rsid w:val="004B7464"/>
    <w:rsid w:val="004C0EF0"/>
    <w:rsid w:val="004C569F"/>
    <w:rsid w:val="004C5E48"/>
    <w:rsid w:val="004C6216"/>
    <w:rsid w:val="004D0378"/>
    <w:rsid w:val="004D0BC8"/>
    <w:rsid w:val="004D23CA"/>
    <w:rsid w:val="004D357A"/>
    <w:rsid w:val="004D3747"/>
    <w:rsid w:val="004D425D"/>
    <w:rsid w:val="004D6DC6"/>
    <w:rsid w:val="004E080B"/>
    <w:rsid w:val="004E15BE"/>
    <w:rsid w:val="004E504B"/>
    <w:rsid w:val="004F06F8"/>
    <w:rsid w:val="004F094B"/>
    <w:rsid w:val="004F327D"/>
    <w:rsid w:val="00501C08"/>
    <w:rsid w:val="005030AA"/>
    <w:rsid w:val="00505E83"/>
    <w:rsid w:val="005065B2"/>
    <w:rsid w:val="0050746B"/>
    <w:rsid w:val="005114F1"/>
    <w:rsid w:val="005148AE"/>
    <w:rsid w:val="00515685"/>
    <w:rsid w:val="00515D6C"/>
    <w:rsid w:val="005229B4"/>
    <w:rsid w:val="00524A5C"/>
    <w:rsid w:val="0052519A"/>
    <w:rsid w:val="0052552B"/>
    <w:rsid w:val="005271BE"/>
    <w:rsid w:val="0052757C"/>
    <w:rsid w:val="00527940"/>
    <w:rsid w:val="00532E24"/>
    <w:rsid w:val="005348E3"/>
    <w:rsid w:val="00541F93"/>
    <w:rsid w:val="00542A67"/>
    <w:rsid w:val="00543737"/>
    <w:rsid w:val="005463C1"/>
    <w:rsid w:val="00550E71"/>
    <w:rsid w:val="00552D85"/>
    <w:rsid w:val="0055384C"/>
    <w:rsid w:val="005548EA"/>
    <w:rsid w:val="005552DA"/>
    <w:rsid w:val="00557B28"/>
    <w:rsid w:val="005609C6"/>
    <w:rsid w:val="005634CC"/>
    <w:rsid w:val="00563BC2"/>
    <w:rsid w:val="00564A9E"/>
    <w:rsid w:val="0056558B"/>
    <w:rsid w:val="00566A07"/>
    <w:rsid w:val="00566A84"/>
    <w:rsid w:val="00567075"/>
    <w:rsid w:val="00570D00"/>
    <w:rsid w:val="00571A0D"/>
    <w:rsid w:val="0057477F"/>
    <w:rsid w:val="00574EAF"/>
    <w:rsid w:val="005751F9"/>
    <w:rsid w:val="0058077A"/>
    <w:rsid w:val="00583CFF"/>
    <w:rsid w:val="00591F2B"/>
    <w:rsid w:val="00594318"/>
    <w:rsid w:val="00595267"/>
    <w:rsid w:val="00595650"/>
    <w:rsid w:val="00596369"/>
    <w:rsid w:val="00596B67"/>
    <w:rsid w:val="005A1605"/>
    <w:rsid w:val="005A2486"/>
    <w:rsid w:val="005A491E"/>
    <w:rsid w:val="005A6C9B"/>
    <w:rsid w:val="005A6F32"/>
    <w:rsid w:val="005B2370"/>
    <w:rsid w:val="005B3045"/>
    <w:rsid w:val="005B32FE"/>
    <w:rsid w:val="005B353C"/>
    <w:rsid w:val="005B52C0"/>
    <w:rsid w:val="005B5CE3"/>
    <w:rsid w:val="005B61B4"/>
    <w:rsid w:val="005B6249"/>
    <w:rsid w:val="005C2FE5"/>
    <w:rsid w:val="005C317F"/>
    <w:rsid w:val="005C5082"/>
    <w:rsid w:val="005D15C6"/>
    <w:rsid w:val="005D204D"/>
    <w:rsid w:val="005D3ED6"/>
    <w:rsid w:val="005D559A"/>
    <w:rsid w:val="005D6F48"/>
    <w:rsid w:val="005E215C"/>
    <w:rsid w:val="005E37B9"/>
    <w:rsid w:val="005E4257"/>
    <w:rsid w:val="005F03E5"/>
    <w:rsid w:val="005F2B02"/>
    <w:rsid w:val="005F681F"/>
    <w:rsid w:val="005F7BF2"/>
    <w:rsid w:val="006009C1"/>
    <w:rsid w:val="00601343"/>
    <w:rsid w:val="00601652"/>
    <w:rsid w:val="00602248"/>
    <w:rsid w:val="0061055E"/>
    <w:rsid w:val="00610B0C"/>
    <w:rsid w:val="00613AEE"/>
    <w:rsid w:val="0061707C"/>
    <w:rsid w:val="00617D91"/>
    <w:rsid w:val="006210BC"/>
    <w:rsid w:val="00623C96"/>
    <w:rsid w:val="006243A4"/>
    <w:rsid w:val="00627961"/>
    <w:rsid w:val="00633A3A"/>
    <w:rsid w:val="00635F48"/>
    <w:rsid w:val="00640726"/>
    <w:rsid w:val="00641652"/>
    <w:rsid w:val="0064246F"/>
    <w:rsid w:val="00644395"/>
    <w:rsid w:val="006501D9"/>
    <w:rsid w:val="00651EE7"/>
    <w:rsid w:val="00655CB5"/>
    <w:rsid w:val="006611BF"/>
    <w:rsid w:val="00662D07"/>
    <w:rsid w:val="00666D11"/>
    <w:rsid w:val="006672C4"/>
    <w:rsid w:val="00670853"/>
    <w:rsid w:val="006738F7"/>
    <w:rsid w:val="006748E5"/>
    <w:rsid w:val="006808B5"/>
    <w:rsid w:val="006850FF"/>
    <w:rsid w:val="00691876"/>
    <w:rsid w:val="00692449"/>
    <w:rsid w:val="006933E6"/>
    <w:rsid w:val="006939CA"/>
    <w:rsid w:val="00695DE9"/>
    <w:rsid w:val="006A3BF3"/>
    <w:rsid w:val="006A6E63"/>
    <w:rsid w:val="006B0B80"/>
    <w:rsid w:val="006B0E61"/>
    <w:rsid w:val="006B11B4"/>
    <w:rsid w:val="006B2048"/>
    <w:rsid w:val="006B2972"/>
    <w:rsid w:val="006B65EB"/>
    <w:rsid w:val="006B67E8"/>
    <w:rsid w:val="006C1E62"/>
    <w:rsid w:val="006C5376"/>
    <w:rsid w:val="006D0909"/>
    <w:rsid w:val="006D12F3"/>
    <w:rsid w:val="006D35BD"/>
    <w:rsid w:val="006D37F9"/>
    <w:rsid w:val="006D5181"/>
    <w:rsid w:val="006D7823"/>
    <w:rsid w:val="006E233B"/>
    <w:rsid w:val="006E4F4E"/>
    <w:rsid w:val="006E62EA"/>
    <w:rsid w:val="006F1FE9"/>
    <w:rsid w:val="006F388E"/>
    <w:rsid w:val="006F7C61"/>
    <w:rsid w:val="006F7DD8"/>
    <w:rsid w:val="007033A8"/>
    <w:rsid w:val="0070427F"/>
    <w:rsid w:val="007042DE"/>
    <w:rsid w:val="0070535B"/>
    <w:rsid w:val="0070701D"/>
    <w:rsid w:val="00714820"/>
    <w:rsid w:val="00720FD8"/>
    <w:rsid w:val="0072197F"/>
    <w:rsid w:val="0072466B"/>
    <w:rsid w:val="0072686D"/>
    <w:rsid w:val="007307D8"/>
    <w:rsid w:val="00731507"/>
    <w:rsid w:val="00731680"/>
    <w:rsid w:val="007361BB"/>
    <w:rsid w:val="00741434"/>
    <w:rsid w:val="00741531"/>
    <w:rsid w:val="00744193"/>
    <w:rsid w:val="007472B8"/>
    <w:rsid w:val="0075718E"/>
    <w:rsid w:val="00760D3F"/>
    <w:rsid w:val="00764650"/>
    <w:rsid w:val="00765E15"/>
    <w:rsid w:val="00770CCC"/>
    <w:rsid w:val="0077358D"/>
    <w:rsid w:val="00773DBE"/>
    <w:rsid w:val="0077664D"/>
    <w:rsid w:val="0077705E"/>
    <w:rsid w:val="0077789E"/>
    <w:rsid w:val="007846A4"/>
    <w:rsid w:val="0078638A"/>
    <w:rsid w:val="00792820"/>
    <w:rsid w:val="0079431A"/>
    <w:rsid w:val="00795235"/>
    <w:rsid w:val="00796790"/>
    <w:rsid w:val="0079772B"/>
    <w:rsid w:val="007A0B0F"/>
    <w:rsid w:val="007A4480"/>
    <w:rsid w:val="007A5A14"/>
    <w:rsid w:val="007A6CEE"/>
    <w:rsid w:val="007B0804"/>
    <w:rsid w:val="007B30BE"/>
    <w:rsid w:val="007B32BA"/>
    <w:rsid w:val="007B401B"/>
    <w:rsid w:val="007B4FFB"/>
    <w:rsid w:val="007B6112"/>
    <w:rsid w:val="007B6CF0"/>
    <w:rsid w:val="007B6DD8"/>
    <w:rsid w:val="007C0F1A"/>
    <w:rsid w:val="007C1163"/>
    <w:rsid w:val="007C3FA1"/>
    <w:rsid w:val="007D3F22"/>
    <w:rsid w:val="007D4154"/>
    <w:rsid w:val="007D45C9"/>
    <w:rsid w:val="007D4669"/>
    <w:rsid w:val="007D7958"/>
    <w:rsid w:val="007E01AA"/>
    <w:rsid w:val="007E5AB5"/>
    <w:rsid w:val="007E5B1C"/>
    <w:rsid w:val="007E777C"/>
    <w:rsid w:val="007F053C"/>
    <w:rsid w:val="007F1CF3"/>
    <w:rsid w:val="007F69D3"/>
    <w:rsid w:val="007F77E6"/>
    <w:rsid w:val="007F7B4F"/>
    <w:rsid w:val="008008EA"/>
    <w:rsid w:val="00801616"/>
    <w:rsid w:val="008032A5"/>
    <w:rsid w:val="0080487E"/>
    <w:rsid w:val="008049A9"/>
    <w:rsid w:val="00805E5F"/>
    <w:rsid w:val="00806CED"/>
    <w:rsid w:val="008174A7"/>
    <w:rsid w:val="00821A5A"/>
    <w:rsid w:val="00822B3A"/>
    <w:rsid w:val="00823991"/>
    <w:rsid w:val="008244A0"/>
    <w:rsid w:val="00830BA8"/>
    <w:rsid w:val="00831731"/>
    <w:rsid w:val="00832015"/>
    <w:rsid w:val="00832CB0"/>
    <w:rsid w:val="00832F6A"/>
    <w:rsid w:val="00837923"/>
    <w:rsid w:val="00837DFA"/>
    <w:rsid w:val="008409FF"/>
    <w:rsid w:val="00840D42"/>
    <w:rsid w:val="00840F14"/>
    <w:rsid w:val="0084152D"/>
    <w:rsid w:val="0084191F"/>
    <w:rsid w:val="0084207C"/>
    <w:rsid w:val="00842920"/>
    <w:rsid w:val="00846924"/>
    <w:rsid w:val="008521B1"/>
    <w:rsid w:val="008572C0"/>
    <w:rsid w:val="0086698F"/>
    <w:rsid w:val="00867CFE"/>
    <w:rsid w:val="008709BA"/>
    <w:rsid w:val="00871230"/>
    <w:rsid w:val="00871B11"/>
    <w:rsid w:val="0087236B"/>
    <w:rsid w:val="00873060"/>
    <w:rsid w:val="008748DB"/>
    <w:rsid w:val="00881A67"/>
    <w:rsid w:val="00883DE7"/>
    <w:rsid w:val="00884939"/>
    <w:rsid w:val="008855B5"/>
    <w:rsid w:val="0088567D"/>
    <w:rsid w:val="00886E4A"/>
    <w:rsid w:val="00887455"/>
    <w:rsid w:val="00891A5A"/>
    <w:rsid w:val="00892AD7"/>
    <w:rsid w:val="00893AB8"/>
    <w:rsid w:val="00894429"/>
    <w:rsid w:val="00896E91"/>
    <w:rsid w:val="008A1B70"/>
    <w:rsid w:val="008A290F"/>
    <w:rsid w:val="008A2BA9"/>
    <w:rsid w:val="008A6202"/>
    <w:rsid w:val="008A62B8"/>
    <w:rsid w:val="008A7D2F"/>
    <w:rsid w:val="008B233B"/>
    <w:rsid w:val="008B23B3"/>
    <w:rsid w:val="008B3D36"/>
    <w:rsid w:val="008C089E"/>
    <w:rsid w:val="008C24CC"/>
    <w:rsid w:val="008C38E3"/>
    <w:rsid w:val="008C3F81"/>
    <w:rsid w:val="008C4104"/>
    <w:rsid w:val="008C4F08"/>
    <w:rsid w:val="008C555A"/>
    <w:rsid w:val="008C619F"/>
    <w:rsid w:val="008C731F"/>
    <w:rsid w:val="008D026A"/>
    <w:rsid w:val="008D5D6C"/>
    <w:rsid w:val="008E2635"/>
    <w:rsid w:val="008E3068"/>
    <w:rsid w:val="008E6FF5"/>
    <w:rsid w:val="008F0C61"/>
    <w:rsid w:val="008F1E8A"/>
    <w:rsid w:val="008F22DC"/>
    <w:rsid w:val="008F2911"/>
    <w:rsid w:val="00900357"/>
    <w:rsid w:val="00901BB3"/>
    <w:rsid w:val="00902D03"/>
    <w:rsid w:val="009033DE"/>
    <w:rsid w:val="00911BA1"/>
    <w:rsid w:val="009136EB"/>
    <w:rsid w:val="009148EA"/>
    <w:rsid w:val="00914940"/>
    <w:rsid w:val="00917469"/>
    <w:rsid w:val="009174FF"/>
    <w:rsid w:val="00921DEE"/>
    <w:rsid w:val="00922516"/>
    <w:rsid w:val="00923B53"/>
    <w:rsid w:val="00924FA9"/>
    <w:rsid w:val="0092760C"/>
    <w:rsid w:val="009336AB"/>
    <w:rsid w:val="009346E9"/>
    <w:rsid w:val="00934C04"/>
    <w:rsid w:val="0093556E"/>
    <w:rsid w:val="0093640C"/>
    <w:rsid w:val="00942DE4"/>
    <w:rsid w:val="0094330B"/>
    <w:rsid w:val="00945ED7"/>
    <w:rsid w:val="00952094"/>
    <w:rsid w:val="009527E8"/>
    <w:rsid w:val="009541FF"/>
    <w:rsid w:val="0096134B"/>
    <w:rsid w:val="009621F0"/>
    <w:rsid w:val="00962702"/>
    <w:rsid w:val="00965A9B"/>
    <w:rsid w:val="00965DCE"/>
    <w:rsid w:val="00970607"/>
    <w:rsid w:val="00972792"/>
    <w:rsid w:val="00975E77"/>
    <w:rsid w:val="00975E8A"/>
    <w:rsid w:val="00976F36"/>
    <w:rsid w:val="00980E94"/>
    <w:rsid w:val="00981978"/>
    <w:rsid w:val="0098351D"/>
    <w:rsid w:val="009855A5"/>
    <w:rsid w:val="00987B20"/>
    <w:rsid w:val="00993D41"/>
    <w:rsid w:val="009A0FF9"/>
    <w:rsid w:val="009A5360"/>
    <w:rsid w:val="009A6C16"/>
    <w:rsid w:val="009B0F3D"/>
    <w:rsid w:val="009B3290"/>
    <w:rsid w:val="009B410C"/>
    <w:rsid w:val="009B5216"/>
    <w:rsid w:val="009B7358"/>
    <w:rsid w:val="009C2AAD"/>
    <w:rsid w:val="009C477E"/>
    <w:rsid w:val="009C4CC6"/>
    <w:rsid w:val="009C5716"/>
    <w:rsid w:val="009C57C2"/>
    <w:rsid w:val="009D07B6"/>
    <w:rsid w:val="009D099D"/>
    <w:rsid w:val="009D23AD"/>
    <w:rsid w:val="009D4333"/>
    <w:rsid w:val="009D558E"/>
    <w:rsid w:val="009D5DD3"/>
    <w:rsid w:val="009E13F5"/>
    <w:rsid w:val="009E357A"/>
    <w:rsid w:val="009E4C90"/>
    <w:rsid w:val="009E5DA3"/>
    <w:rsid w:val="009E6B4C"/>
    <w:rsid w:val="009E7C5F"/>
    <w:rsid w:val="009F58BC"/>
    <w:rsid w:val="009F7470"/>
    <w:rsid w:val="00A00C56"/>
    <w:rsid w:val="00A01D71"/>
    <w:rsid w:val="00A044BC"/>
    <w:rsid w:val="00A047DB"/>
    <w:rsid w:val="00A05FB1"/>
    <w:rsid w:val="00A11ABE"/>
    <w:rsid w:val="00A11EA5"/>
    <w:rsid w:val="00A1472A"/>
    <w:rsid w:val="00A1480F"/>
    <w:rsid w:val="00A16C84"/>
    <w:rsid w:val="00A214E1"/>
    <w:rsid w:val="00A2381D"/>
    <w:rsid w:val="00A26B73"/>
    <w:rsid w:val="00A27727"/>
    <w:rsid w:val="00A45A33"/>
    <w:rsid w:val="00A471E5"/>
    <w:rsid w:val="00A52DD8"/>
    <w:rsid w:val="00A54C39"/>
    <w:rsid w:val="00A551AA"/>
    <w:rsid w:val="00A55A45"/>
    <w:rsid w:val="00A5711D"/>
    <w:rsid w:val="00A623ED"/>
    <w:rsid w:val="00A62580"/>
    <w:rsid w:val="00A6333D"/>
    <w:rsid w:val="00A635AC"/>
    <w:rsid w:val="00A63E77"/>
    <w:rsid w:val="00A64856"/>
    <w:rsid w:val="00A65893"/>
    <w:rsid w:val="00A814F7"/>
    <w:rsid w:val="00A84952"/>
    <w:rsid w:val="00A85620"/>
    <w:rsid w:val="00A86105"/>
    <w:rsid w:val="00A9033B"/>
    <w:rsid w:val="00A9433A"/>
    <w:rsid w:val="00A9454C"/>
    <w:rsid w:val="00A9520F"/>
    <w:rsid w:val="00A9620D"/>
    <w:rsid w:val="00A97374"/>
    <w:rsid w:val="00AA1D2A"/>
    <w:rsid w:val="00AA299C"/>
    <w:rsid w:val="00AA355E"/>
    <w:rsid w:val="00AA7800"/>
    <w:rsid w:val="00AB0205"/>
    <w:rsid w:val="00AB22EE"/>
    <w:rsid w:val="00AB3646"/>
    <w:rsid w:val="00AB477A"/>
    <w:rsid w:val="00AB7309"/>
    <w:rsid w:val="00AC15D0"/>
    <w:rsid w:val="00AC40C9"/>
    <w:rsid w:val="00AC48EA"/>
    <w:rsid w:val="00AC5711"/>
    <w:rsid w:val="00AC5BE0"/>
    <w:rsid w:val="00AC68B9"/>
    <w:rsid w:val="00AE216C"/>
    <w:rsid w:val="00AE7006"/>
    <w:rsid w:val="00AF196B"/>
    <w:rsid w:val="00AF2CDE"/>
    <w:rsid w:val="00AF3A2C"/>
    <w:rsid w:val="00AF456B"/>
    <w:rsid w:val="00B01E38"/>
    <w:rsid w:val="00B040E3"/>
    <w:rsid w:val="00B05BC5"/>
    <w:rsid w:val="00B10451"/>
    <w:rsid w:val="00B109DB"/>
    <w:rsid w:val="00B11F28"/>
    <w:rsid w:val="00B127C3"/>
    <w:rsid w:val="00B13377"/>
    <w:rsid w:val="00B13DDA"/>
    <w:rsid w:val="00B26D05"/>
    <w:rsid w:val="00B300EF"/>
    <w:rsid w:val="00B338A3"/>
    <w:rsid w:val="00B33ED4"/>
    <w:rsid w:val="00B3497F"/>
    <w:rsid w:val="00B35952"/>
    <w:rsid w:val="00B36255"/>
    <w:rsid w:val="00B36AF2"/>
    <w:rsid w:val="00B376F9"/>
    <w:rsid w:val="00B41860"/>
    <w:rsid w:val="00B42DB0"/>
    <w:rsid w:val="00B441D8"/>
    <w:rsid w:val="00B55AC8"/>
    <w:rsid w:val="00B629B4"/>
    <w:rsid w:val="00B63462"/>
    <w:rsid w:val="00B637F6"/>
    <w:rsid w:val="00B63F21"/>
    <w:rsid w:val="00B65CA3"/>
    <w:rsid w:val="00B65CEE"/>
    <w:rsid w:val="00B67023"/>
    <w:rsid w:val="00B70580"/>
    <w:rsid w:val="00B71FA0"/>
    <w:rsid w:val="00B73018"/>
    <w:rsid w:val="00B7387C"/>
    <w:rsid w:val="00B75798"/>
    <w:rsid w:val="00B76439"/>
    <w:rsid w:val="00B8317C"/>
    <w:rsid w:val="00B83A78"/>
    <w:rsid w:val="00B84C57"/>
    <w:rsid w:val="00B9003D"/>
    <w:rsid w:val="00B95976"/>
    <w:rsid w:val="00B96A82"/>
    <w:rsid w:val="00BA0FE7"/>
    <w:rsid w:val="00BA3C8B"/>
    <w:rsid w:val="00BA4542"/>
    <w:rsid w:val="00BB082C"/>
    <w:rsid w:val="00BB1EE0"/>
    <w:rsid w:val="00BB23FC"/>
    <w:rsid w:val="00BB39A4"/>
    <w:rsid w:val="00BB45F2"/>
    <w:rsid w:val="00BB5999"/>
    <w:rsid w:val="00BB5DBA"/>
    <w:rsid w:val="00BB65AB"/>
    <w:rsid w:val="00BC09EA"/>
    <w:rsid w:val="00BC37F0"/>
    <w:rsid w:val="00BC3E39"/>
    <w:rsid w:val="00BC4B74"/>
    <w:rsid w:val="00BC5D01"/>
    <w:rsid w:val="00BD0569"/>
    <w:rsid w:val="00BD192A"/>
    <w:rsid w:val="00BD536E"/>
    <w:rsid w:val="00BD6A51"/>
    <w:rsid w:val="00BE38C6"/>
    <w:rsid w:val="00BE4235"/>
    <w:rsid w:val="00BE4D0C"/>
    <w:rsid w:val="00BE511C"/>
    <w:rsid w:val="00BF1C3F"/>
    <w:rsid w:val="00C0179E"/>
    <w:rsid w:val="00C02621"/>
    <w:rsid w:val="00C054ED"/>
    <w:rsid w:val="00C14F83"/>
    <w:rsid w:val="00C170F6"/>
    <w:rsid w:val="00C23268"/>
    <w:rsid w:val="00C253CB"/>
    <w:rsid w:val="00C31F39"/>
    <w:rsid w:val="00C32381"/>
    <w:rsid w:val="00C32A49"/>
    <w:rsid w:val="00C340A1"/>
    <w:rsid w:val="00C4002C"/>
    <w:rsid w:val="00C416A8"/>
    <w:rsid w:val="00C427E8"/>
    <w:rsid w:val="00C42B2C"/>
    <w:rsid w:val="00C42EAE"/>
    <w:rsid w:val="00C43DE5"/>
    <w:rsid w:val="00C46C90"/>
    <w:rsid w:val="00C47736"/>
    <w:rsid w:val="00C47C19"/>
    <w:rsid w:val="00C5496C"/>
    <w:rsid w:val="00C5733B"/>
    <w:rsid w:val="00C64078"/>
    <w:rsid w:val="00C655B8"/>
    <w:rsid w:val="00C7354E"/>
    <w:rsid w:val="00C74A15"/>
    <w:rsid w:val="00C76DC3"/>
    <w:rsid w:val="00C812A4"/>
    <w:rsid w:val="00C827E8"/>
    <w:rsid w:val="00C82850"/>
    <w:rsid w:val="00C85405"/>
    <w:rsid w:val="00C85732"/>
    <w:rsid w:val="00C87A8D"/>
    <w:rsid w:val="00C90263"/>
    <w:rsid w:val="00C904DE"/>
    <w:rsid w:val="00C93A09"/>
    <w:rsid w:val="00C955A4"/>
    <w:rsid w:val="00C95E1E"/>
    <w:rsid w:val="00C97546"/>
    <w:rsid w:val="00C97F49"/>
    <w:rsid w:val="00CA31CC"/>
    <w:rsid w:val="00CA65A9"/>
    <w:rsid w:val="00CA6889"/>
    <w:rsid w:val="00CB2DE3"/>
    <w:rsid w:val="00CB47D6"/>
    <w:rsid w:val="00CC0A56"/>
    <w:rsid w:val="00CC0F0C"/>
    <w:rsid w:val="00CC39A9"/>
    <w:rsid w:val="00CC3F84"/>
    <w:rsid w:val="00CC4B5C"/>
    <w:rsid w:val="00CC62A9"/>
    <w:rsid w:val="00CD1E68"/>
    <w:rsid w:val="00CD3130"/>
    <w:rsid w:val="00CD3468"/>
    <w:rsid w:val="00CD36C5"/>
    <w:rsid w:val="00CD789B"/>
    <w:rsid w:val="00CE1A5D"/>
    <w:rsid w:val="00CE21FC"/>
    <w:rsid w:val="00CE604A"/>
    <w:rsid w:val="00CE6436"/>
    <w:rsid w:val="00CE6A67"/>
    <w:rsid w:val="00CE7058"/>
    <w:rsid w:val="00CF0646"/>
    <w:rsid w:val="00CF2FC4"/>
    <w:rsid w:val="00CF3B49"/>
    <w:rsid w:val="00CF6238"/>
    <w:rsid w:val="00CF6AAC"/>
    <w:rsid w:val="00CF736E"/>
    <w:rsid w:val="00D00942"/>
    <w:rsid w:val="00D03F56"/>
    <w:rsid w:val="00D10753"/>
    <w:rsid w:val="00D11E57"/>
    <w:rsid w:val="00D12CEE"/>
    <w:rsid w:val="00D15750"/>
    <w:rsid w:val="00D2185C"/>
    <w:rsid w:val="00D2190B"/>
    <w:rsid w:val="00D235CF"/>
    <w:rsid w:val="00D27368"/>
    <w:rsid w:val="00D33098"/>
    <w:rsid w:val="00D36403"/>
    <w:rsid w:val="00D37ED8"/>
    <w:rsid w:val="00D401F9"/>
    <w:rsid w:val="00D417DC"/>
    <w:rsid w:val="00D428C0"/>
    <w:rsid w:val="00D42AA6"/>
    <w:rsid w:val="00D441B2"/>
    <w:rsid w:val="00D44290"/>
    <w:rsid w:val="00D50056"/>
    <w:rsid w:val="00D521C7"/>
    <w:rsid w:val="00D5284D"/>
    <w:rsid w:val="00D541B0"/>
    <w:rsid w:val="00D55F1A"/>
    <w:rsid w:val="00D566A8"/>
    <w:rsid w:val="00D616C8"/>
    <w:rsid w:val="00D61B17"/>
    <w:rsid w:val="00D665B3"/>
    <w:rsid w:val="00D72A36"/>
    <w:rsid w:val="00D7453F"/>
    <w:rsid w:val="00D753DB"/>
    <w:rsid w:val="00D76FEC"/>
    <w:rsid w:val="00D7797E"/>
    <w:rsid w:val="00D80392"/>
    <w:rsid w:val="00D8064D"/>
    <w:rsid w:val="00D82BBE"/>
    <w:rsid w:val="00D84D22"/>
    <w:rsid w:val="00D87F5C"/>
    <w:rsid w:val="00D90A83"/>
    <w:rsid w:val="00D91688"/>
    <w:rsid w:val="00D951F6"/>
    <w:rsid w:val="00D962ED"/>
    <w:rsid w:val="00D96405"/>
    <w:rsid w:val="00DA34E8"/>
    <w:rsid w:val="00DA4C5C"/>
    <w:rsid w:val="00DA4DA9"/>
    <w:rsid w:val="00DA6E90"/>
    <w:rsid w:val="00DA6EDD"/>
    <w:rsid w:val="00DB0B0D"/>
    <w:rsid w:val="00DB14C4"/>
    <w:rsid w:val="00DB1ECC"/>
    <w:rsid w:val="00DB2C09"/>
    <w:rsid w:val="00DB3E20"/>
    <w:rsid w:val="00DB4548"/>
    <w:rsid w:val="00DB5C55"/>
    <w:rsid w:val="00DB6D79"/>
    <w:rsid w:val="00DC0FE2"/>
    <w:rsid w:val="00DC4018"/>
    <w:rsid w:val="00DC4CC7"/>
    <w:rsid w:val="00DC57A3"/>
    <w:rsid w:val="00DD1183"/>
    <w:rsid w:val="00DD208D"/>
    <w:rsid w:val="00DD4370"/>
    <w:rsid w:val="00DE28DF"/>
    <w:rsid w:val="00DE3D64"/>
    <w:rsid w:val="00DE41FA"/>
    <w:rsid w:val="00DE52AB"/>
    <w:rsid w:val="00DF3C33"/>
    <w:rsid w:val="00DF7470"/>
    <w:rsid w:val="00E01138"/>
    <w:rsid w:val="00E01269"/>
    <w:rsid w:val="00E0353D"/>
    <w:rsid w:val="00E04DD7"/>
    <w:rsid w:val="00E04F46"/>
    <w:rsid w:val="00E054C2"/>
    <w:rsid w:val="00E15BC9"/>
    <w:rsid w:val="00E16088"/>
    <w:rsid w:val="00E20FB2"/>
    <w:rsid w:val="00E21663"/>
    <w:rsid w:val="00E23B4E"/>
    <w:rsid w:val="00E24A07"/>
    <w:rsid w:val="00E24C9C"/>
    <w:rsid w:val="00E255C5"/>
    <w:rsid w:val="00E25FC3"/>
    <w:rsid w:val="00E274F9"/>
    <w:rsid w:val="00E27D42"/>
    <w:rsid w:val="00E302C7"/>
    <w:rsid w:val="00E3544B"/>
    <w:rsid w:val="00E41302"/>
    <w:rsid w:val="00E42DBD"/>
    <w:rsid w:val="00E43472"/>
    <w:rsid w:val="00E505C0"/>
    <w:rsid w:val="00E51487"/>
    <w:rsid w:val="00E5232E"/>
    <w:rsid w:val="00E5326C"/>
    <w:rsid w:val="00E565AA"/>
    <w:rsid w:val="00E569E3"/>
    <w:rsid w:val="00E67FDE"/>
    <w:rsid w:val="00E770DD"/>
    <w:rsid w:val="00E7796C"/>
    <w:rsid w:val="00E77F54"/>
    <w:rsid w:val="00E80D8F"/>
    <w:rsid w:val="00E812B0"/>
    <w:rsid w:val="00E81FAA"/>
    <w:rsid w:val="00E82350"/>
    <w:rsid w:val="00E8421C"/>
    <w:rsid w:val="00E856A7"/>
    <w:rsid w:val="00E95B69"/>
    <w:rsid w:val="00E97168"/>
    <w:rsid w:val="00EB084F"/>
    <w:rsid w:val="00EB0D7E"/>
    <w:rsid w:val="00EB3B2B"/>
    <w:rsid w:val="00EB3BDC"/>
    <w:rsid w:val="00EB4641"/>
    <w:rsid w:val="00EB7449"/>
    <w:rsid w:val="00EB7C9B"/>
    <w:rsid w:val="00EC39A4"/>
    <w:rsid w:val="00EC5CE3"/>
    <w:rsid w:val="00EC6FDC"/>
    <w:rsid w:val="00ED1059"/>
    <w:rsid w:val="00ED1A77"/>
    <w:rsid w:val="00ED2966"/>
    <w:rsid w:val="00ED41AA"/>
    <w:rsid w:val="00ED6BD5"/>
    <w:rsid w:val="00EE101F"/>
    <w:rsid w:val="00EE1564"/>
    <w:rsid w:val="00EE19C8"/>
    <w:rsid w:val="00EF5102"/>
    <w:rsid w:val="00F00373"/>
    <w:rsid w:val="00F025B6"/>
    <w:rsid w:val="00F06697"/>
    <w:rsid w:val="00F07EF5"/>
    <w:rsid w:val="00F12062"/>
    <w:rsid w:val="00F1253B"/>
    <w:rsid w:val="00F1372C"/>
    <w:rsid w:val="00F1731D"/>
    <w:rsid w:val="00F2263E"/>
    <w:rsid w:val="00F27AB4"/>
    <w:rsid w:val="00F31543"/>
    <w:rsid w:val="00F31BF8"/>
    <w:rsid w:val="00F36142"/>
    <w:rsid w:val="00F36197"/>
    <w:rsid w:val="00F37F32"/>
    <w:rsid w:val="00F40087"/>
    <w:rsid w:val="00F403B7"/>
    <w:rsid w:val="00F43F21"/>
    <w:rsid w:val="00F45872"/>
    <w:rsid w:val="00F46183"/>
    <w:rsid w:val="00F51451"/>
    <w:rsid w:val="00F566BA"/>
    <w:rsid w:val="00F62F9D"/>
    <w:rsid w:val="00F63961"/>
    <w:rsid w:val="00F64656"/>
    <w:rsid w:val="00F659B2"/>
    <w:rsid w:val="00F65D03"/>
    <w:rsid w:val="00F70D97"/>
    <w:rsid w:val="00F70DD6"/>
    <w:rsid w:val="00F72B04"/>
    <w:rsid w:val="00F74146"/>
    <w:rsid w:val="00F75676"/>
    <w:rsid w:val="00F76C00"/>
    <w:rsid w:val="00F77D3F"/>
    <w:rsid w:val="00F8081E"/>
    <w:rsid w:val="00F81500"/>
    <w:rsid w:val="00F83F6C"/>
    <w:rsid w:val="00F85E0A"/>
    <w:rsid w:val="00F86157"/>
    <w:rsid w:val="00F8671D"/>
    <w:rsid w:val="00F871A2"/>
    <w:rsid w:val="00F907DB"/>
    <w:rsid w:val="00F909C3"/>
    <w:rsid w:val="00F94088"/>
    <w:rsid w:val="00F96236"/>
    <w:rsid w:val="00F96D95"/>
    <w:rsid w:val="00FA3011"/>
    <w:rsid w:val="00FA39C8"/>
    <w:rsid w:val="00FA5CF2"/>
    <w:rsid w:val="00FA73AB"/>
    <w:rsid w:val="00FB10ED"/>
    <w:rsid w:val="00FC1FB8"/>
    <w:rsid w:val="00FC5532"/>
    <w:rsid w:val="00FC64D0"/>
    <w:rsid w:val="00FC6E53"/>
    <w:rsid w:val="00FD04AC"/>
    <w:rsid w:val="00FE026A"/>
    <w:rsid w:val="00FE0C92"/>
    <w:rsid w:val="00FE13FC"/>
    <w:rsid w:val="00FE18C8"/>
    <w:rsid w:val="00FE1A85"/>
    <w:rsid w:val="00FE2EEE"/>
    <w:rsid w:val="00FE3036"/>
    <w:rsid w:val="00FF17FF"/>
    <w:rsid w:val="00FF19E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62D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2D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2D07"/>
  </w:style>
  <w:style w:type="paragraph" w:styleId="Footer">
    <w:name w:val="footer"/>
    <w:basedOn w:val="Normal"/>
    <w:link w:val="FooterChar"/>
    <w:uiPriority w:val="99"/>
    <w:unhideWhenUsed/>
    <w:rsid w:val="00662D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D07"/>
  </w:style>
  <w:style w:type="paragraph" w:styleId="BalloonText">
    <w:name w:val="Balloon Text"/>
    <w:basedOn w:val="Normal"/>
    <w:link w:val="BalloonTextChar"/>
    <w:uiPriority w:val="99"/>
    <w:semiHidden/>
    <w:unhideWhenUsed/>
    <w:rsid w:val="00662D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2D07"/>
    <w:rPr>
      <w:rFonts w:ascii="Tahoma" w:hAnsi="Tahoma" w:cs="Tahoma"/>
      <w:sz w:val="16"/>
      <w:szCs w:val="16"/>
    </w:rPr>
  </w:style>
  <w:style w:type="paragraph" w:styleId="Title">
    <w:name w:val="Title"/>
    <w:basedOn w:val="Normal"/>
    <w:next w:val="Normal"/>
    <w:link w:val="TitleChar"/>
    <w:uiPriority w:val="10"/>
    <w:qFormat/>
    <w:rsid w:val="00662D0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62D07"/>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62D07"/>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D90A8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70427F"/>
    <w:pPr>
      <w:ind w:left="720"/>
      <w:contextualSpacing/>
    </w:pPr>
  </w:style>
  <w:style w:type="paragraph" w:customStyle="1" w:styleId="bodytext">
    <w:name w:val="bodytext"/>
    <w:basedOn w:val="Normal"/>
    <w:uiPriority w:val="99"/>
    <w:rsid w:val="00C64078"/>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sid w:val="00922516"/>
    <w:rPr>
      <w:color w:val="0000FF"/>
      <w:u w:val="single"/>
    </w:rPr>
  </w:style>
  <w:style w:type="paragraph" w:customStyle="1" w:styleId="ecxmsolistparagraph">
    <w:name w:val="ecxmsolistparagraph"/>
    <w:basedOn w:val="Normal"/>
    <w:rsid w:val="00F31BF8"/>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D84D22"/>
    <w:rPr>
      <w:sz w:val="16"/>
      <w:szCs w:val="16"/>
    </w:rPr>
  </w:style>
  <w:style w:type="paragraph" w:styleId="CommentText">
    <w:name w:val="annotation text"/>
    <w:basedOn w:val="Normal"/>
    <w:link w:val="CommentTextChar"/>
    <w:uiPriority w:val="99"/>
    <w:semiHidden/>
    <w:unhideWhenUsed/>
    <w:rsid w:val="00D84D22"/>
    <w:pPr>
      <w:spacing w:line="240" w:lineRule="auto"/>
    </w:pPr>
    <w:rPr>
      <w:sz w:val="20"/>
      <w:szCs w:val="20"/>
    </w:rPr>
  </w:style>
  <w:style w:type="character" w:customStyle="1" w:styleId="CommentTextChar">
    <w:name w:val="Comment Text Char"/>
    <w:basedOn w:val="DefaultParagraphFont"/>
    <w:link w:val="CommentText"/>
    <w:uiPriority w:val="99"/>
    <w:semiHidden/>
    <w:rsid w:val="00D84D22"/>
    <w:rPr>
      <w:sz w:val="20"/>
      <w:szCs w:val="20"/>
    </w:rPr>
  </w:style>
  <w:style w:type="paragraph" w:styleId="CommentSubject">
    <w:name w:val="annotation subject"/>
    <w:basedOn w:val="CommentText"/>
    <w:next w:val="CommentText"/>
    <w:link w:val="CommentSubjectChar"/>
    <w:uiPriority w:val="99"/>
    <w:semiHidden/>
    <w:unhideWhenUsed/>
    <w:rsid w:val="00D84D22"/>
    <w:rPr>
      <w:b/>
      <w:bCs/>
    </w:rPr>
  </w:style>
  <w:style w:type="character" w:customStyle="1" w:styleId="CommentSubjectChar">
    <w:name w:val="Comment Subject Char"/>
    <w:basedOn w:val="CommentTextChar"/>
    <w:link w:val="CommentSubject"/>
    <w:uiPriority w:val="99"/>
    <w:semiHidden/>
    <w:rsid w:val="00D84D22"/>
    <w:rPr>
      <w:b/>
      <w:bCs/>
      <w:sz w:val="20"/>
      <w:szCs w:val="20"/>
    </w:rPr>
  </w:style>
  <w:style w:type="paragraph" w:styleId="NormalWeb">
    <w:name w:val="Normal (Web)"/>
    <w:basedOn w:val="Normal"/>
    <w:uiPriority w:val="99"/>
    <w:semiHidden/>
    <w:unhideWhenUsed/>
    <w:rsid w:val="00017ECA"/>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884939"/>
    <w:pPr>
      <w:spacing w:after="0" w:line="240" w:lineRule="auto"/>
    </w:pPr>
  </w:style>
  <w:style w:type="character" w:styleId="FollowedHyperlink">
    <w:name w:val="FollowedHyperlink"/>
    <w:basedOn w:val="DefaultParagraphFont"/>
    <w:uiPriority w:val="99"/>
    <w:semiHidden/>
    <w:unhideWhenUsed/>
    <w:rsid w:val="007B32BA"/>
    <w:rPr>
      <w:color w:val="800080" w:themeColor="followedHyperlink"/>
      <w:u w:val="single"/>
    </w:rPr>
  </w:style>
  <w:style w:type="character" w:customStyle="1" w:styleId="syllable">
    <w:name w:val="syllable"/>
    <w:basedOn w:val="DefaultParagraphFont"/>
    <w:rsid w:val="009E4C90"/>
  </w:style>
  <w:style w:type="character" w:customStyle="1" w:styleId="last-syllable">
    <w:name w:val="last-syllable"/>
    <w:basedOn w:val="DefaultParagraphFont"/>
    <w:rsid w:val="009E4C90"/>
  </w:style>
  <w:style w:type="paragraph" w:styleId="NoSpacing">
    <w:name w:val="No Spacing"/>
    <w:uiPriority w:val="1"/>
    <w:qFormat/>
    <w:rsid w:val="006F1FE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62D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2D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2D07"/>
  </w:style>
  <w:style w:type="paragraph" w:styleId="Footer">
    <w:name w:val="footer"/>
    <w:basedOn w:val="Normal"/>
    <w:link w:val="FooterChar"/>
    <w:uiPriority w:val="99"/>
    <w:unhideWhenUsed/>
    <w:rsid w:val="00662D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D07"/>
  </w:style>
  <w:style w:type="paragraph" w:styleId="BalloonText">
    <w:name w:val="Balloon Text"/>
    <w:basedOn w:val="Normal"/>
    <w:link w:val="BalloonTextChar"/>
    <w:uiPriority w:val="99"/>
    <w:semiHidden/>
    <w:unhideWhenUsed/>
    <w:rsid w:val="00662D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2D07"/>
    <w:rPr>
      <w:rFonts w:ascii="Tahoma" w:hAnsi="Tahoma" w:cs="Tahoma"/>
      <w:sz w:val="16"/>
      <w:szCs w:val="16"/>
    </w:rPr>
  </w:style>
  <w:style w:type="paragraph" w:styleId="Title">
    <w:name w:val="Title"/>
    <w:basedOn w:val="Normal"/>
    <w:next w:val="Normal"/>
    <w:link w:val="TitleChar"/>
    <w:uiPriority w:val="10"/>
    <w:qFormat/>
    <w:rsid w:val="00662D0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62D07"/>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62D07"/>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D90A8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70427F"/>
    <w:pPr>
      <w:ind w:left="720"/>
      <w:contextualSpacing/>
    </w:pPr>
  </w:style>
  <w:style w:type="paragraph" w:customStyle="1" w:styleId="bodytext">
    <w:name w:val="bodytext"/>
    <w:basedOn w:val="Normal"/>
    <w:uiPriority w:val="99"/>
    <w:rsid w:val="00C64078"/>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sid w:val="00922516"/>
    <w:rPr>
      <w:color w:val="0000FF"/>
      <w:u w:val="single"/>
    </w:rPr>
  </w:style>
  <w:style w:type="paragraph" w:customStyle="1" w:styleId="ecxmsolistparagraph">
    <w:name w:val="ecxmsolistparagraph"/>
    <w:basedOn w:val="Normal"/>
    <w:rsid w:val="00F31BF8"/>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D84D22"/>
    <w:rPr>
      <w:sz w:val="16"/>
      <w:szCs w:val="16"/>
    </w:rPr>
  </w:style>
  <w:style w:type="paragraph" w:styleId="CommentText">
    <w:name w:val="annotation text"/>
    <w:basedOn w:val="Normal"/>
    <w:link w:val="CommentTextChar"/>
    <w:uiPriority w:val="99"/>
    <w:semiHidden/>
    <w:unhideWhenUsed/>
    <w:rsid w:val="00D84D22"/>
    <w:pPr>
      <w:spacing w:line="240" w:lineRule="auto"/>
    </w:pPr>
    <w:rPr>
      <w:sz w:val="20"/>
      <w:szCs w:val="20"/>
    </w:rPr>
  </w:style>
  <w:style w:type="character" w:customStyle="1" w:styleId="CommentTextChar">
    <w:name w:val="Comment Text Char"/>
    <w:basedOn w:val="DefaultParagraphFont"/>
    <w:link w:val="CommentText"/>
    <w:uiPriority w:val="99"/>
    <w:semiHidden/>
    <w:rsid w:val="00D84D22"/>
    <w:rPr>
      <w:sz w:val="20"/>
      <w:szCs w:val="20"/>
    </w:rPr>
  </w:style>
  <w:style w:type="paragraph" w:styleId="CommentSubject">
    <w:name w:val="annotation subject"/>
    <w:basedOn w:val="CommentText"/>
    <w:next w:val="CommentText"/>
    <w:link w:val="CommentSubjectChar"/>
    <w:uiPriority w:val="99"/>
    <w:semiHidden/>
    <w:unhideWhenUsed/>
    <w:rsid w:val="00D84D22"/>
    <w:rPr>
      <w:b/>
      <w:bCs/>
    </w:rPr>
  </w:style>
  <w:style w:type="character" w:customStyle="1" w:styleId="CommentSubjectChar">
    <w:name w:val="Comment Subject Char"/>
    <w:basedOn w:val="CommentTextChar"/>
    <w:link w:val="CommentSubject"/>
    <w:uiPriority w:val="99"/>
    <w:semiHidden/>
    <w:rsid w:val="00D84D22"/>
    <w:rPr>
      <w:b/>
      <w:bCs/>
      <w:sz w:val="20"/>
      <w:szCs w:val="20"/>
    </w:rPr>
  </w:style>
  <w:style w:type="paragraph" w:styleId="NormalWeb">
    <w:name w:val="Normal (Web)"/>
    <w:basedOn w:val="Normal"/>
    <w:uiPriority w:val="99"/>
    <w:semiHidden/>
    <w:unhideWhenUsed/>
    <w:rsid w:val="00017ECA"/>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884939"/>
    <w:pPr>
      <w:spacing w:after="0" w:line="240" w:lineRule="auto"/>
    </w:pPr>
  </w:style>
  <w:style w:type="character" w:styleId="FollowedHyperlink">
    <w:name w:val="FollowedHyperlink"/>
    <w:basedOn w:val="DefaultParagraphFont"/>
    <w:uiPriority w:val="99"/>
    <w:semiHidden/>
    <w:unhideWhenUsed/>
    <w:rsid w:val="007B32BA"/>
    <w:rPr>
      <w:color w:val="800080" w:themeColor="followedHyperlink"/>
      <w:u w:val="single"/>
    </w:rPr>
  </w:style>
  <w:style w:type="character" w:customStyle="1" w:styleId="syllable">
    <w:name w:val="syllable"/>
    <w:basedOn w:val="DefaultParagraphFont"/>
    <w:rsid w:val="009E4C90"/>
  </w:style>
  <w:style w:type="character" w:customStyle="1" w:styleId="last-syllable">
    <w:name w:val="last-syllable"/>
    <w:basedOn w:val="DefaultParagraphFont"/>
    <w:rsid w:val="009E4C90"/>
  </w:style>
  <w:style w:type="paragraph" w:styleId="NoSpacing">
    <w:name w:val="No Spacing"/>
    <w:uiPriority w:val="1"/>
    <w:qFormat/>
    <w:rsid w:val="006F1FE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7775">
      <w:bodyDiv w:val="1"/>
      <w:marLeft w:val="0"/>
      <w:marRight w:val="0"/>
      <w:marTop w:val="0"/>
      <w:marBottom w:val="0"/>
      <w:divBdr>
        <w:top w:val="none" w:sz="0" w:space="0" w:color="auto"/>
        <w:left w:val="none" w:sz="0" w:space="0" w:color="auto"/>
        <w:bottom w:val="none" w:sz="0" w:space="0" w:color="auto"/>
        <w:right w:val="none" w:sz="0" w:space="0" w:color="auto"/>
      </w:divBdr>
    </w:div>
    <w:div w:id="161117942">
      <w:bodyDiv w:val="1"/>
      <w:marLeft w:val="0"/>
      <w:marRight w:val="0"/>
      <w:marTop w:val="0"/>
      <w:marBottom w:val="0"/>
      <w:divBdr>
        <w:top w:val="none" w:sz="0" w:space="0" w:color="auto"/>
        <w:left w:val="none" w:sz="0" w:space="0" w:color="auto"/>
        <w:bottom w:val="none" w:sz="0" w:space="0" w:color="auto"/>
        <w:right w:val="none" w:sz="0" w:space="0" w:color="auto"/>
      </w:divBdr>
    </w:div>
    <w:div w:id="263390985">
      <w:bodyDiv w:val="1"/>
      <w:marLeft w:val="0"/>
      <w:marRight w:val="0"/>
      <w:marTop w:val="0"/>
      <w:marBottom w:val="0"/>
      <w:divBdr>
        <w:top w:val="none" w:sz="0" w:space="0" w:color="auto"/>
        <w:left w:val="none" w:sz="0" w:space="0" w:color="auto"/>
        <w:bottom w:val="none" w:sz="0" w:space="0" w:color="auto"/>
        <w:right w:val="none" w:sz="0" w:space="0" w:color="auto"/>
      </w:divBdr>
    </w:div>
    <w:div w:id="289669378">
      <w:bodyDiv w:val="1"/>
      <w:marLeft w:val="0"/>
      <w:marRight w:val="0"/>
      <w:marTop w:val="0"/>
      <w:marBottom w:val="0"/>
      <w:divBdr>
        <w:top w:val="none" w:sz="0" w:space="0" w:color="auto"/>
        <w:left w:val="none" w:sz="0" w:space="0" w:color="auto"/>
        <w:bottom w:val="none" w:sz="0" w:space="0" w:color="auto"/>
        <w:right w:val="none" w:sz="0" w:space="0" w:color="auto"/>
      </w:divBdr>
    </w:div>
    <w:div w:id="417406373">
      <w:bodyDiv w:val="1"/>
      <w:marLeft w:val="0"/>
      <w:marRight w:val="0"/>
      <w:marTop w:val="0"/>
      <w:marBottom w:val="0"/>
      <w:divBdr>
        <w:top w:val="none" w:sz="0" w:space="0" w:color="auto"/>
        <w:left w:val="none" w:sz="0" w:space="0" w:color="auto"/>
        <w:bottom w:val="none" w:sz="0" w:space="0" w:color="auto"/>
        <w:right w:val="none" w:sz="0" w:space="0" w:color="auto"/>
      </w:divBdr>
    </w:div>
    <w:div w:id="515382906">
      <w:bodyDiv w:val="1"/>
      <w:marLeft w:val="0"/>
      <w:marRight w:val="0"/>
      <w:marTop w:val="0"/>
      <w:marBottom w:val="0"/>
      <w:divBdr>
        <w:top w:val="none" w:sz="0" w:space="0" w:color="auto"/>
        <w:left w:val="none" w:sz="0" w:space="0" w:color="auto"/>
        <w:bottom w:val="none" w:sz="0" w:space="0" w:color="auto"/>
        <w:right w:val="none" w:sz="0" w:space="0" w:color="auto"/>
      </w:divBdr>
      <w:divsChild>
        <w:div w:id="547107454">
          <w:marLeft w:val="0"/>
          <w:marRight w:val="0"/>
          <w:marTop w:val="0"/>
          <w:marBottom w:val="0"/>
          <w:divBdr>
            <w:top w:val="none" w:sz="0" w:space="0" w:color="auto"/>
            <w:left w:val="none" w:sz="0" w:space="0" w:color="auto"/>
            <w:bottom w:val="none" w:sz="0" w:space="0" w:color="auto"/>
            <w:right w:val="none" w:sz="0" w:space="0" w:color="auto"/>
          </w:divBdr>
        </w:div>
      </w:divsChild>
    </w:div>
    <w:div w:id="543175432">
      <w:bodyDiv w:val="1"/>
      <w:marLeft w:val="0"/>
      <w:marRight w:val="0"/>
      <w:marTop w:val="0"/>
      <w:marBottom w:val="0"/>
      <w:divBdr>
        <w:top w:val="none" w:sz="0" w:space="0" w:color="auto"/>
        <w:left w:val="none" w:sz="0" w:space="0" w:color="auto"/>
        <w:bottom w:val="none" w:sz="0" w:space="0" w:color="auto"/>
        <w:right w:val="none" w:sz="0" w:space="0" w:color="auto"/>
      </w:divBdr>
    </w:div>
    <w:div w:id="607467366">
      <w:bodyDiv w:val="1"/>
      <w:marLeft w:val="0"/>
      <w:marRight w:val="0"/>
      <w:marTop w:val="0"/>
      <w:marBottom w:val="0"/>
      <w:divBdr>
        <w:top w:val="none" w:sz="0" w:space="0" w:color="auto"/>
        <w:left w:val="none" w:sz="0" w:space="0" w:color="auto"/>
        <w:bottom w:val="none" w:sz="0" w:space="0" w:color="auto"/>
        <w:right w:val="none" w:sz="0" w:space="0" w:color="auto"/>
      </w:divBdr>
    </w:div>
    <w:div w:id="607857150">
      <w:bodyDiv w:val="1"/>
      <w:marLeft w:val="0"/>
      <w:marRight w:val="0"/>
      <w:marTop w:val="0"/>
      <w:marBottom w:val="0"/>
      <w:divBdr>
        <w:top w:val="none" w:sz="0" w:space="0" w:color="auto"/>
        <w:left w:val="none" w:sz="0" w:space="0" w:color="auto"/>
        <w:bottom w:val="none" w:sz="0" w:space="0" w:color="auto"/>
        <w:right w:val="none" w:sz="0" w:space="0" w:color="auto"/>
      </w:divBdr>
      <w:divsChild>
        <w:div w:id="756437863">
          <w:marLeft w:val="0"/>
          <w:marRight w:val="0"/>
          <w:marTop w:val="0"/>
          <w:marBottom w:val="0"/>
          <w:divBdr>
            <w:top w:val="none" w:sz="0" w:space="0" w:color="auto"/>
            <w:left w:val="none" w:sz="0" w:space="0" w:color="auto"/>
            <w:bottom w:val="none" w:sz="0" w:space="0" w:color="auto"/>
            <w:right w:val="none" w:sz="0" w:space="0" w:color="auto"/>
          </w:divBdr>
          <w:divsChild>
            <w:div w:id="815143569">
              <w:marLeft w:val="0"/>
              <w:marRight w:val="0"/>
              <w:marTop w:val="0"/>
              <w:marBottom w:val="0"/>
              <w:divBdr>
                <w:top w:val="none" w:sz="0" w:space="0" w:color="auto"/>
                <w:left w:val="none" w:sz="0" w:space="0" w:color="auto"/>
                <w:bottom w:val="none" w:sz="0" w:space="0" w:color="auto"/>
                <w:right w:val="none" w:sz="0" w:space="0" w:color="auto"/>
              </w:divBdr>
              <w:divsChild>
                <w:div w:id="130365495">
                  <w:marLeft w:val="0"/>
                  <w:marRight w:val="0"/>
                  <w:marTop w:val="0"/>
                  <w:marBottom w:val="0"/>
                  <w:divBdr>
                    <w:top w:val="none" w:sz="0" w:space="0" w:color="auto"/>
                    <w:left w:val="none" w:sz="0" w:space="0" w:color="auto"/>
                    <w:bottom w:val="none" w:sz="0" w:space="0" w:color="auto"/>
                    <w:right w:val="none" w:sz="0" w:space="0" w:color="auto"/>
                  </w:divBdr>
                  <w:divsChild>
                    <w:div w:id="1534420355">
                      <w:marLeft w:val="0"/>
                      <w:marRight w:val="0"/>
                      <w:marTop w:val="0"/>
                      <w:marBottom w:val="0"/>
                      <w:divBdr>
                        <w:top w:val="none" w:sz="0" w:space="0" w:color="auto"/>
                        <w:left w:val="none" w:sz="0" w:space="0" w:color="auto"/>
                        <w:bottom w:val="none" w:sz="0" w:space="0" w:color="auto"/>
                        <w:right w:val="none" w:sz="0" w:space="0" w:color="auto"/>
                      </w:divBdr>
                      <w:divsChild>
                        <w:div w:id="196977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7499163">
      <w:bodyDiv w:val="1"/>
      <w:marLeft w:val="0"/>
      <w:marRight w:val="0"/>
      <w:marTop w:val="0"/>
      <w:marBottom w:val="0"/>
      <w:divBdr>
        <w:top w:val="none" w:sz="0" w:space="0" w:color="auto"/>
        <w:left w:val="none" w:sz="0" w:space="0" w:color="auto"/>
        <w:bottom w:val="none" w:sz="0" w:space="0" w:color="auto"/>
        <w:right w:val="none" w:sz="0" w:space="0" w:color="auto"/>
      </w:divBdr>
    </w:div>
    <w:div w:id="995065462">
      <w:bodyDiv w:val="1"/>
      <w:marLeft w:val="0"/>
      <w:marRight w:val="0"/>
      <w:marTop w:val="0"/>
      <w:marBottom w:val="0"/>
      <w:divBdr>
        <w:top w:val="none" w:sz="0" w:space="0" w:color="auto"/>
        <w:left w:val="none" w:sz="0" w:space="0" w:color="auto"/>
        <w:bottom w:val="none" w:sz="0" w:space="0" w:color="auto"/>
        <w:right w:val="none" w:sz="0" w:space="0" w:color="auto"/>
      </w:divBdr>
    </w:div>
    <w:div w:id="1053231287">
      <w:bodyDiv w:val="1"/>
      <w:marLeft w:val="0"/>
      <w:marRight w:val="0"/>
      <w:marTop w:val="0"/>
      <w:marBottom w:val="0"/>
      <w:divBdr>
        <w:top w:val="none" w:sz="0" w:space="0" w:color="auto"/>
        <w:left w:val="none" w:sz="0" w:space="0" w:color="auto"/>
        <w:bottom w:val="none" w:sz="0" w:space="0" w:color="auto"/>
        <w:right w:val="none" w:sz="0" w:space="0" w:color="auto"/>
      </w:divBdr>
    </w:div>
    <w:div w:id="1082336873">
      <w:bodyDiv w:val="1"/>
      <w:marLeft w:val="0"/>
      <w:marRight w:val="0"/>
      <w:marTop w:val="0"/>
      <w:marBottom w:val="0"/>
      <w:divBdr>
        <w:top w:val="none" w:sz="0" w:space="0" w:color="auto"/>
        <w:left w:val="none" w:sz="0" w:space="0" w:color="auto"/>
        <w:bottom w:val="none" w:sz="0" w:space="0" w:color="auto"/>
        <w:right w:val="none" w:sz="0" w:space="0" w:color="auto"/>
      </w:divBdr>
    </w:div>
    <w:div w:id="1413821787">
      <w:bodyDiv w:val="1"/>
      <w:marLeft w:val="0"/>
      <w:marRight w:val="0"/>
      <w:marTop w:val="0"/>
      <w:marBottom w:val="0"/>
      <w:divBdr>
        <w:top w:val="none" w:sz="0" w:space="0" w:color="auto"/>
        <w:left w:val="none" w:sz="0" w:space="0" w:color="auto"/>
        <w:bottom w:val="none" w:sz="0" w:space="0" w:color="auto"/>
        <w:right w:val="none" w:sz="0" w:space="0" w:color="auto"/>
      </w:divBdr>
    </w:div>
    <w:div w:id="1531991625">
      <w:bodyDiv w:val="1"/>
      <w:marLeft w:val="0"/>
      <w:marRight w:val="0"/>
      <w:marTop w:val="0"/>
      <w:marBottom w:val="0"/>
      <w:divBdr>
        <w:top w:val="none" w:sz="0" w:space="0" w:color="auto"/>
        <w:left w:val="none" w:sz="0" w:space="0" w:color="auto"/>
        <w:bottom w:val="none" w:sz="0" w:space="0" w:color="auto"/>
        <w:right w:val="none" w:sz="0" w:space="0" w:color="auto"/>
      </w:divBdr>
    </w:div>
    <w:div w:id="1705325960">
      <w:bodyDiv w:val="1"/>
      <w:marLeft w:val="0"/>
      <w:marRight w:val="0"/>
      <w:marTop w:val="0"/>
      <w:marBottom w:val="0"/>
      <w:divBdr>
        <w:top w:val="none" w:sz="0" w:space="0" w:color="auto"/>
        <w:left w:val="none" w:sz="0" w:space="0" w:color="auto"/>
        <w:bottom w:val="none" w:sz="0" w:space="0" w:color="auto"/>
        <w:right w:val="none" w:sz="0" w:space="0" w:color="auto"/>
      </w:divBdr>
      <w:divsChild>
        <w:div w:id="420227498">
          <w:marLeft w:val="547"/>
          <w:marRight w:val="0"/>
          <w:marTop w:val="120"/>
          <w:marBottom w:val="0"/>
          <w:divBdr>
            <w:top w:val="none" w:sz="0" w:space="0" w:color="auto"/>
            <w:left w:val="none" w:sz="0" w:space="0" w:color="auto"/>
            <w:bottom w:val="none" w:sz="0" w:space="0" w:color="auto"/>
            <w:right w:val="none" w:sz="0" w:space="0" w:color="auto"/>
          </w:divBdr>
        </w:div>
      </w:divsChild>
    </w:div>
    <w:div w:id="1736930400">
      <w:bodyDiv w:val="1"/>
      <w:marLeft w:val="0"/>
      <w:marRight w:val="0"/>
      <w:marTop w:val="0"/>
      <w:marBottom w:val="0"/>
      <w:divBdr>
        <w:top w:val="none" w:sz="0" w:space="0" w:color="auto"/>
        <w:left w:val="none" w:sz="0" w:space="0" w:color="auto"/>
        <w:bottom w:val="none" w:sz="0" w:space="0" w:color="auto"/>
        <w:right w:val="none" w:sz="0" w:space="0" w:color="auto"/>
      </w:divBdr>
      <w:divsChild>
        <w:div w:id="1589851155">
          <w:marLeft w:val="547"/>
          <w:marRight w:val="0"/>
          <w:marTop w:val="120"/>
          <w:marBottom w:val="0"/>
          <w:divBdr>
            <w:top w:val="none" w:sz="0" w:space="0" w:color="auto"/>
            <w:left w:val="none" w:sz="0" w:space="0" w:color="auto"/>
            <w:bottom w:val="none" w:sz="0" w:space="0" w:color="auto"/>
            <w:right w:val="none" w:sz="0" w:space="0" w:color="auto"/>
          </w:divBdr>
        </w:div>
      </w:divsChild>
    </w:div>
    <w:div w:id="194695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A1EB2-DF3C-43D3-BCF2-6A271237C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1461</Words>
  <Characters>8334</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Capita Business Services</Company>
  <LinksUpToDate>false</LinksUpToDate>
  <CharactersWithSpaces>9776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Patel Hennal (Consumers And Households)</dc:creator>
  <cp:lastModifiedBy>Hollingshead Paul</cp:lastModifiedBy>
  <cp:revision>2</cp:revision>
  <cp:lastPrinted>2014-10-16T09:27:00Z</cp:lastPrinted>
  <dcterms:created xsi:type="dcterms:W3CDTF">2014-12-22T10:26:00Z</dcterms:created>
  <dcterms:modified xsi:type="dcterms:W3CDTF">2014-12-22T10:26:00Z</dcterms:modified>
</cp:coreProperties>
</file>